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南银理财珠联璧合鑫逸稳一年228期封闭式公募人民币理财产品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2026年03月02日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南银理财珠联璧合鑫逸稳一年228期封闭式公募人民币理财产品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ZZ700322500255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Y36228、YA30228、Y35228、Y32228、Y33228、Y30228、Y31228、Y34228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2025年07月02日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2026年02月27日,2026年02月28日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2026年02月27日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蚂蚁星河(重庆)信息技术有限公司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天津信托-天实511号集合资金信托计划（第4期）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2026年02月28日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蚂蚁星河(重庆)信息技术有限公司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大家-长煜5号资产支持计划（第2期）优先级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资产证券化(债权型)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2026年03月02日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