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30" w:rsidRDefault="00474630" w:rsidP="000D096A">
      <w:pPr>
        <w:spacing w:before="240" w:afterLines="30" w:line="360" w:lineRule="auto"/>
        <w:jc w:val="center"/>
      </w:pPr>
    </w:p>
    <w:p w:rsidR="00474630" w:rsidRDefault="00474630" w:rsidP="000D096A">
      <w:pPr>
        <w:spacing w:before="240" w:afterLines="30" w:line="360" w:lineRule="auto"/>
        <w:jc w:val="center"/>
      </w:pPr>
    </w:p>
    <w:p w:rsidR="00474630" w:rsidRDefault="00474630" w:rsidP="000D096A">
      <w:pPr>
        <w:spacing w:before="240" w:afterLines="30" w:line="360" w:lineRule="auto"/>
        <w:jc w:val="center"/>
      </w:pPr>
    </w:p>
    <w:p w:rsidR="00474630" w:rsidRDefault="00E63E73" w:rsidP="000D096A">
      <w:pPr>
        <w:spacing w:before="240" w:afterLines="30" w:line="360" w:lineRule="auto"/>
        <w:jc w:val="center"/>
        <w:rPr>
          <w:rFonts w:ascii="方正黑体简体" w:eastAsia="方正黑体简体"/>
          <w:sz w:val="36"/>
        </w:rPr>
      </w:pPr>
      <w:r>
        <w:rPr>
          <w:rFonts w:ascii="方正黑体简体" w:eastAsia="方正黑体简体"/>
          <w:sz w:val="36"/>
        </w:rPr>
        <w:t>南银理财珠联璧合鑫逸稳一年210期封闭式公募人民币理财产品</w:t>
      </w:r>
    </w:p>
    <w:p w:rsidR="00474630" w:rsidRDefault="00E63E73" w:rsidP="000D096A">
      <w:pPr>
        <w:spacing w:before="240" w:afterLines="30" w:line="360" w:lineRule="auto"/>
        <w:jc w:val="center"/>
        <w:rPr>
          <w:rFonts w:ascii="方正黑体简体" w:eastAsia="方正黑体简体" w:hAnsi="黑体"/>
          <w:sz w:val="36"/>
        </w:rPr>
      </w:pPr>
      <w:r>
        <w:rPr>
          <w:rFonts w:ascii="方正黑体简体" w:eastAsia="方正黑体简体" w:hAnsi="黑体"/>
          <w:sz w:val="36"/>
        </w:rPr>
        <w:t>2025年半</w:t>
      </w:r>
      <w:r>
        <w:rPr>
          <w:rFonts w:ascii="方正黑体简体" w:eastAsia="方正黑体简体" w:hAnsi="Calibri" w:hint="eastAsia"/>
          <w:sz w:val="36"/>
        </w:rPr>
        <w:t>年度</w:t>
      </w:r>
      <w:r>
        <w:rPr>
          <w:rFonts w:ascii="方正黑体简体" w:eastAsia="方正黑体简体" w:hAnsi="黑体"/>
          <w:sz w:val="36"/>
        </w:rPr>
        <w:t>报告</w:t>
      </w:r>
    </w:p>
    <w:p w:rsidR="00474630" w:rsidRDefault="00474630" w:rsidP="000D096A">
      <w:pPr>
        <w:spacing w:before="240" w:afterLines="30" w:line="360" w:lineRule="auto"/>
        <w:jc w:val="center"/>
        <w:rPr>
          <w:rFonts w:ascii="方正黑体简体" w:eastAsia="方正黑体简体"/>
          <w:sz w:val="36"/>
        </w:rPr>
      </w:pPr>
    </w:p>
    <w:p w:rsidR="00474630" w:rsidRDefault="00474630" w:rsidP="000D096A">
      <w:pPr>
        <w:spacing w:before="240" w:afterLines="30" w:line="360" w:lineRule="auto"/>
        <w:jc w:val="center"/>
        <w:rPr>
          <w:rFonts w:ascii="方正黑体简体" w:eastAsia="方正黑体简体"/>
          <w:sz w:val="36"/>
        </w:rPr>
      </w:pPr>
    </w:p>
    <w:p w:rsidR="00474630" w:rsidRDefault="00474630" w:rsidP="000D096A">
      <w:pPr>
        <w:spacing w:before="240" w:afterLines="30" w:line="360" w:lineRule="auto"/>
        <w:jc w:val="center"/>
        <w:rPr>
          <w:rFonts w:ascii="方正黑体简体" w:eastAsia="方正黑体简体"/>
          <w:sz w:val="36"/>
        </w:rPr>
      </w:pPr>
    </w:p>
    <w:p w:rsidR="00474630" w:rsidRDefault="00474630" w:rsidP="000D096A">
      <w:pPr>
        <w:spacing w:before="240" w:afterLines="30" w:line="360" w:lineRule="auto"/>
        <w:jc w:val="center"/>
        <w:rPr>
          <w:rFonts w:ascii="方正黑体简体" w:eastAsia="方正黑体简体"/>
          <w:sz w:val="36"/>
        </w:rPr>
      </w:pPr>
    </w:p>
    <w:p w:rsidR="00474630" w:rsidRDefault="00474630" w:rsidP="000D096A">
      <w:pPr>
        <w:spacing w:before="240" w:afterLines="30" w:line="360" w:lineRule="auto"/>
        <w:jc w:val="center"/>
        <w:rPr>
          <w:rFonts w:ascii="方正黑体简体" w:eastAsia="方正黑体简体"/>
          <w:sz w:val="36"/>
        </w:rPr>
      </w:pPr>
    </w:p>
    <w:p w:rsidR="00474630" w:rsidRDefault="00E63E73" w:rsidP="000D096A">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b/>
          <w:sz w:val="24"/>
          <w:szCs w:val="24"/>
        </w:rPr>
        <w:t>南银理财有限责任公司</w:t>
      </w:r>
    </w:p>
    <w:p w:rsidR="00474630" w:rsidRDefault="00E63E73" w:rsidP="000D096A">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b/>
          <w:sz w:val="24"/>
          <w:szCs w:val="24"/>
        </w:rPr>
        <w:t>南京银行股份有限公司</w:t>
      </w:r>
    </w:p>
    <w:p w:rsidR="00474630" w:rsidRDefault="00474630" w:rsidP="000D096A">
      <w:pPr>
        <w:spacing w:before="240" w:afterLines="30" w:line="360" w:lineRule="auto"/>
        <w:jc w:val="center"/>
        <w:rPr>
          <w:rFonts w:ascii="方正黑体简体" w:eastAsia="方正黑体简体"/>
          <w:sz w:val="36"/>
        </w:rPr>
      </w:pPr>
    </w:p>
    <w:p w:rsidR="00474630" w:rsidRDefault="00E63E73">
      <w:pPr>
        <w:widowControl/>
        <w:jc w:val="left"/>
        <w:rPr>
          <w:rFonts w:ascii="方正黑体简体" w:eastAsia="方正黑体简体"/>
          <w:sz w:val="36"/>
        </w:rPr>
      </w:pPr>
      <w:r>
        <w:rPr>
          <w:rFonts w:ascii="方正黑体简体" w:eastAsia="方正黑体简体"/>
          <w:sz w:val="36"/>
        </w:rPr>
        <w:br w:type="page"/>
      </w:r>
    </w:p>
    <w:p w:rsidR="00474630" w:rsidRDefault="00E63E73" w:rsidP="000D096A">
      <w:pPr>
        <w:widowControl/>
        <w:spacing w:before="240" w:afterLines="30" w:line="360" w:lineRule="auto"/>
        <w:jc w:val="center"/>
        <w:rPr>
          <w:rFonts w:ascii="方正仿宋简体" w:eastAsia="方正仿宋简体" w:hAnsi="Calibri"/>
          <w:b/>
          <w:sz w:val="24"/>
          <w:szCs w:val="24"/>
        </w:rPr>
      </w:pPr>
      <w:r>
        <w:rPr>
          <w:rFonts w:ascii="方正仿宋简体" w:eastAsia="方正仿宋简体" w:hAnsi="Calibri" w:hint="eastAsia"/>
          <w:b/>
          <w:sz w:val="24"/>
          <w:szCs w:val="24"/>
        </w:rPr>
        <w:lastRenderedPageBreak/>
        <w:t>§1 产品概况</w:t>
      </w:r>
    </w:p>
    <w:tbl>
      <w:tblPr>
        <w:tblW w:w="881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894"/>
        <w:gridCol w:w="5924"/>
      </w:tblGrid>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南银理财珠联璧合鑫逸稳一年210期封闭式公募人民币理财产品</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Z7003225000055（投资者可依据该编码在中国理财网www.chinawealth.com.cn查询理财产品相关信息）</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2025年03月19日</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2,338,565,277.00份</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报告期末产品杠杆水平</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sz w:val="24"/>
                <w:szCs w:val="24"/>
              </w:rPr>
              <w:t>100.35%</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华鑫国际信托有限公司,天津信托有限责任公司,紫金信托有限责任公司,江苏省国际信托有限责任公司,中国对外经济贸易信托有限公司</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474630">
        <w:tc>
          <w:tcPr>
            <w:tcW w:w="289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5924" w:type="dxa"/>
            <w:vAlign w:val="center"/>
          </w:tcPr>
          <w:p w:rsidR="00474630" w:rsidRDefault="00E63E73" w:rsidP="000D096A">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474630" w:rsidRDefault="00474630" w:rsidP="000D096A">
      <w:pPr>
        <w:spacing w:before="240" w:afterLines="30" w:line="360" w:lineRule="auto"/>
        <w:rPr>
          <w:rFonts w:ascii="方正仿宋简体" w:eastAsia="方正仿宋简体" w:hAnsi="Calibri"/>
          <w:sz w:val="24"/>
          <w:szCs w:val="24"/>
        </w:rPr>
      </w:pPr>
    </w:p>
    <w:p w:rsidR="00474630" w:rsidRDefault="00E63E73" w:rsidP="000D096A">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§2  主要财务指标</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2.1 主要财务指标</w:t>
      </w:r>
    </w:p>
    <w:p w:rsidR="00474630" w:rsidRDefault="00E63E73" w:rsidP="000D096A">
      <w:pPr>
        <w:spacing w:before="240" w:afterLines="30" w:line="360" w:lineRule="auto"/>
        <w:jc w:val="right"/>
        <w:rPr>
          <w:rFonts w:ascii="方正仿宋简体" w:eastAsia="方正仿宋简体" w:cs="宋体"/>
          <w:kern w:val="0"/>
          <w:sz w:val="24"/>
          <w:szCs w:val="24"/>
        </w:rPr>
      </w:pPr>
      <w:r>
        <w:rPr>
          <w:rFonts w:ascii="方正仿宋简体" w:eastAsia="方正仿宋简体" w:cs="宋体" w:hint="eastAsia"/>
          <w:kern w:val="0"/>
          <w:sz w:val="24"/>
          <w:szCs w:val="24"/>
        </w:rPr>
        <w:t>单位：人民币元</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348"/>
        <w:gridCol w:w="2291"/>
        <w:gridCol w:w="1888"/>
        <w:gridCol w:w="1981"/>
        <w:gridCol w:w="1394"/>
      </w:tblGrid>
      <w:tr w:rsidR="00474630">
        <w:trPr>
          <w:trHeight w:val="744"/>
          <w:jc w:val="center"/>
        </w:trPr>
        <w:tc>
          <w:tcPr>
            <w:tcW w:w="1348" w:type="dxa"/>
            <w:vMerge w:val="restart"/>
            <w:vAlign w:val="center"/>
          </w:tcPr>
          <w:p w:rsidR="00474630" w:rsidRDefault="00E63E73" w:rsidP="000D096A">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内部销售代码</w:t>
            </w:r>
          </w:p>
        </w:tc>
        <w:tc>
          <w:tcPr>
            <w:tcW w:w="7554" w:type="dxa"/>
            <w:gridSpan w:val="4"/>
            <w:vAlign w:val="center"/>
          </w:tcPr>
          <w:p w:rsidR="00474630" w:rsidRDefault="00E63E73" w:rsidP="000D096A">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报告期（2025年03月19日 - 2025年06月30日）</w:t>
            </w:r>
          </w:p>
        </w:tc>
      </w:tr>
      <w:tr w:rsidR="00474630">
        <w:trPr>
          <w:trHeight w:val="1563"/>
          <w:jc w:val="center"/>
        </w:trPr>
        <w:tc>
          <w:tcPr>
            <w:tcW w:w="1348" w:type="dxa"/>
            <w:vMerge/>
            <w:vAlign w:val="center"/>
          </w:tcPr>
          <w:p w:rsidR="00474630" w:rsidRDefault="00474630" w:rsidP="000D096A">
            <w:pPr>
              <w:spacing w:beforeLines="20" w:afterLines="20"/>
              <w:jc w:val="center"/>
              <w:rPr>
                <w:rFonts w:ascii="方正仿宋简体" w:eastAsia="方正仿宋简体"/>
                <w:sz w:val="24"/>
                <w:szCs w:val="24"/>
                <w:shd w:val="clear" w:color="auto" w:fill="FFFFFF"/>
              </w:rPr>
            </w:pPr>
          </w:p>
        </w:tc>
        <w:tc>
          <w:tcPr>
            <w:tcW w:w="2291" w:type="dxa"/>
            <w:vAlign w:val="center"/>
          </w:tcPr>
          <w:p w:rsidR="00474630" w:rsidRDefault="00E63E73" w:rsidP="000D096A">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1.期末产品最后一个市场交易日资产净值</w:t>
            </w:r>
          </w:p>
        </w:tc>
        <w:tc>
          <w:tcPr>
            <w:tcW w:w="1888" w:type="dxa"/>
            <w:vAlign w:val="center"/>
          </w:tcPr>
          <w:p w:rsidR="00474630" w:rsidRDefault="00E63E73" w:rsidP="000D096A">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2.期末产品最后一个市场交易日份额净值</w:t>
            </w:r>
          </w:p>
        </w:tc>
        <w:tc>
          <w:tcPr>
            <w:tcW w:w="1981" w:type="dxa"/>
            <w:vAlign w:val="center"/>
          </w:tcPr>
          <w:p w:rsidR="00474630" w:rsidRDefault="00E63E73" w:rsidP="000D096A">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3.期末产品最后一个市场交易日份额累计净值</w:t>
            </w:r>
          </w:p>
        </w:tc>
        <w:tc>
          <w:tcPr>
            <w:tcW w:w="1394" w:type="dxa"/>
            <w:vAlign w:val="center"/>
          </w:tcPr>
          <w:p w:rsidR="00474630" w:rsidRDefault="00E63E73" w:rsidP="000D096A">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4.其它费用</w:t>
            </w:r>
          </w:p>
        </w:tc>
      </w:tr>
      <w:tr>
        <w:trPr>
          <w:jc w:val="center"/>
        </w:trPr>
        <w:tc>
          <w:tcPr>
            <w:tcW w:w="134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Y30210</w:t>
            </w:r>
          </w:p>
        </w:tc>
        <w:tc>
          <w:tcPr>
            <w:tcW w:w="229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1,087,861,026.57</w:t>
            </w:r>
          </w:p>
        </w:tc>
        <w:tc>
          <w:tcPr>
            <w:tcW w:w="188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1.0096</w:t>
            </w:r>
          </w:p>
        </w:tc>
        <w:tc>
          <w:tcPr>
            <w:tcW w:w="198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1.0096</w:t>
            </w:r>
          </w:p>
        </w:tc>
        <w:tc>
          <w:tcPr>
            <w:tcW w:w="1394" w:type="dxa"/>
            <w:vMerge w:val="restart"/>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0.00</w:t>
            </w:r>
          </w:p>
        </w:tc>
      </w:tr>
      <w:tr>
        <w:trPr>
          <w:jc w:val="center"/>
        </w:trPr>
        <w:tc>
          <w:tcPr>
            <w:tcW w:w="134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Y31210</w:t>
            </w:r>
          </w:p>
        </w:tc>
        <w:tc>
          <w:tcPr>
            <w:tcW w:w="229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677,426,886.93</w:t>
            </w:r>
          </w:p>
        </w:tc>
        <w:tc>
          <w:tcPr>
            <w:tcW w:w="188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1.0099</w:t>
            </w:r>
          </w:p>
        </w:tc>
        <w:tc>
          <w:tcPr>
            <w:tcW w:w="198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1.0099</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r>
        <w:trPr>
          <w:jc w:val="center"/>
        </w:trPr>
        <w:tc>
          <w:tcPr>
            <w:tcW w:w="134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Y32210</w:t>
            </w:r>
          </w:p>
        </w:tc>
        <w:tc>
          <w:tcPr>
            <w:tcW w:w="229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254,401,717.20</w:t>
            </w:r>
          </w:p>
        </w:tc>
        <w:tc>
          <w:tcPr>
            <w:tcW w:w="188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1.0101</w:t>
            </w:r>
          </w:p>
        </w:tc>
        <w:tc>
          <w:tcPr>
            <w:tcW w:w="198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1.0101</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r>
        <w:trPr>
          <w:jc w:val="center"/>
        </w:trPr>
        <w:tc>
          <w:tcPr>
            <w:tcW w:w="134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Y34210</w:t>
            </w:r>
          </w:p>
        </w:tc>
        <w:tc>
          <w:tcPr>
            <w:tcW w:w="229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82,466,729.20</w:t>
            </w:r>
          </w:p>
        </w:tc>
        <w:tc>
          <w:tcPr>
            <w:tcW w:w="188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1.0101</w:t>
            </w:r>
          </w:p>
        </w:tc>
        <w:tc>
          <w:tcPr>
            <w:tcW w:w="198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1.0101</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r>
        <w:trPr>
          <w:jc w:val="center"/>
        </w:trPr>
        <w:tc>
          <w:tcPr>
            <w:tcW w:w="134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Y38210</w:t>
            </w:r>
          </w:p>
        </w:tc>
        <w:tc>
          <w:tcPr>
            <w:tcW w:w="229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259,396,286.06</w:t>
            </w:r>
          </w:p>
        </w:tc>
        <w:tc>
          <w:tcPr>
            <w:tcW w:w="188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1.0100</w:t>
            </w:r>
          </w:p>
        </w:tc>
        <w:tc>
          <w:tcPr>
            <w:tcW w:w="198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1.0100</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bl>
    <w:p w:rsidR="00474630" w:rsidRDefault="00E63E73" w:rsidP="000D096A">
      <w:pPr>
        <w:spacing w:before="240" w:afterLines="30" w:line="360" w:lineRule="auto"/>
        <w:rPr>
          <w:rFonts w:ascii="方正仿宋简体" w:eastAsia="方正仿宋简体"/>
          <w:sz w:val="24"/>
          <w:szCs w:val="24"/>
        </w:rPr>
      </w:pPr>
      <w:r>
        <w:rPr>
          <w:rFonts w:ascii="方正仿宋简体" w:eastAsia="方正仿宋简体" w:hint="eastAsia"/>
          <w:sz w:val="24"/>
          <w:szCs w:val="24"/>
        </w:rPr>
        <w:lastRenderedPageBreak/>
        <w:t>注：产品净值可能存在未扣除管理人及投资合作机构业绩报酬、赎回费等费用（如有）的情况，实际收益以兑付为准。</w:t>
      </w:r>
    </w:p>
    <w:p w:rsidR="00474630" w:rsidRDefault="00474630" w:rsidP="000D096A">
      <w:pPr>
        <w:spacing w:before="240" w:afterLines="30" w:line="360" w:lineRule="auto"/>
        <w:rPr>
          <w:rFonts w:ascii="方正仿宋简体" w:eastAsia="方正仿宋简体" w:hAnsi="宋体" w:cs="宋体"/>
          <w:kern w:val="0"/>
          <w:sz w:val="24"/>
          <w:szCs w:val="24"/>
        </w:rPr>
      </w:pPr>
    </w:p>
    <w:p w:rsidR="00474630" w:rsidRDefault="00E63E73" w:rsidP="000D096A">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§3  管理人报告</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3.1 报告期内产品的投资策略和运作分析</w:t>
      </w:r>
    </w:p>
    <w:p w:rsidR="00474630" w:rsidRDefault="00E63E73" w:rsidP="000D096A">
      <w:pPr>
        <w:spacing w:before="240" w:afterLines="30" w:line="360" w:lineRule="auto"/>
        <w:rPr>
          <w:rFonts w:ascii="方正仿宋简体" w:eastAsia="方正仿宋简体"/>
          <w:sz w:val="24"/>
          <w:szCs w:val="24"/>
        </w:rPr>
      </w:pPr>
      <w:r>
        <w:rPr>
          <w:rFonts w:ascii="方正仿宋简体" w:eastAsia="方正仿宋简体" w:hint="eastAsia"/>
          <w:sz w:val="24"/>
          <w:szCs w:val="24"/>
        </w:rPr>
        <w:t>  二季度外部压力上升，推动宽货币政策落地，债市收益率整体下行。4月初美国“对等关税”超预期落地，引发市场风险偏好调整，宽货币预期随之升温并在5月落地，债券收益率快速下行，收益率曲线平坦化下移。此后利率低位震荡，市场情绪受关税谈判、政府债供给、银行负债端压力等多方因素中反复扰动，但在资金面宽松背景下基本保持平稳态势。截至6月30日，10年国债到期收益率由季初高点1.81%下行至1.65%。</w:t>
        <w:br w:type="textWrapping" w:clear="all"/>
      </w:r>
      <w:r>
        <w:rPr>
          <w:rFonts w:ascii="方正仿宋简体" w:eastAsia="方正仿宋简体" w:hint="eastAsia"/>
          <w:sz w:val="24"/>
          <w:szCs w:val="24"/>
        </w:rPr>
        <w:t>  展望后市，一方面当前抢出口脉冲效应对经济的支撑力度渐弱，内需呈现弱修复态势，物价持续低位运行，另一方面市场流动性充裕，资金价格平稳，债市总体处于偏顺风环境。后续关注中美关税谈判、重要会议预期、机构情绪波动等因素带来的市场变动，把握新的投资机会。</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3.2 报告期内产品的流动性风险分析</w:t>
      </w:r>
    </w:p>
    <w:p w:rsidR="00474630" w:rsidRDefault="00E63E73" w:rsidP="000D096A">
      <w:pPr>
        <w:spacing w:before="240" w:afterLines="30" w:line="360" w:lineRule="auto"/>
        <w:rPr>
          <w:rFonts w:ascii="方正仿宋简体" w:eastAsia="方正仿宋简体"/>
          <w:sz w:val="24"/>
          <w:szCs w:val="24"/>
        </w:rPr>
      </w:pPr>
      <w:r>
        <w:rPr>
          <w:rFonts w:ascii="方正仿宋简体" w:eastAsia="方正仿宋简体" w:hint="eastAsia"/>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3.3 报告期内产品的业绩表现</w:t>
      </w:r>
    </w:p>
    <w:p w:rsidR="00474630" w:rsidRDefault="00E63E73" w:rsidP="000D096A">
      <w:pPr>
        <w:spacing w:before="240" w:afterLines="30"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截至报告期末，本产品Y30210份额净值为1.0096元，Y31210份额净值为1.0099元，Y32210份额净值为1.0101元，Y34210份额净值为1.0101元，Y38210份额净值为1.0100元。</w:t>
      </w:r>
    </w:p>
    <w:p w:rsidR="00474630" w:rsidRDefault="00474630" w:rsidP="000D096A">
      <w:pPr>
        <w:spacing w:before="240" w:afterLines="30" w:line="360" w:lineRule="auto"/>
        <w:rPr>
          <w:rFonts w:ascii="方正仿宋简体" w:eastAsia="方正仿宋简体" w:hAnsi="宋体" w:cs="宋体"/>
          <w:kern w:val="0"/>
          <w:sz w:val="24"/>
          <w:szCs w:val="24"/>
        </w:rPr>
      </w:pPr>
    </w:p>
    <w:p w:rsidR="00474630" w:rsidRDefault="00E63E73" w:rsidP="000D096A">
      <w:pPr>
        <w:spacing w:before="240" w:afterLines="30" w:line="360" w:lineRule="auto"/>
        <w:jc w:val="center"/>
        <w:rPr>
          <w:rFonts w:ascii="方正仿宋简体" w:eastAsia="方正仿宋简体" w:hAnsi="Calibri"/>
          <w:b/>
          <w:sz w:val="24"/>
          <w:szCs w:val="24"/>
        </w:rPr>
      </w:pPr>
      <w:r>
        <w:rPr>
          <w:rFonts w:ascii="方正仿宋简体" w:eastAsia="方正仿宋简体" w:hAnsi="Calibri" w:hint="eastAsia"/>
          <w:b/>
          <w:sz w:val="24"/>
          <w:szCs w:val="24"/>
        </w:rPr>
        <w:t>§4  托管人报告</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4.1报告期内托管人遵规守信情况声明</w:t>
      </w:r>
    </w:p>
    <w:p w:rsidR="00474630" w:rsidRDefault="00E63E73" w:rsidP="000D096A">
      <w:pPr>
        <w:spacing w:before="240" w:afterLines="30" w:line="360" w:lineRule="auto"/>
        <w:rPr>
          <w:rFonts w:ascii="方正仿宋简体" w:eastAsia="方正仿宋简体"/>
          <w:sz w:val="24"/>
          <w:szCs w:val="24"/>
        </w:rPr>
      </w:pPr>
      <w:r>
        <w:rPr>
          <w:rFonts w:ascii="方正仿宋简体" w:eastAsia="方正仿宋简体" w:hint="eastAsia"/>
          <w:sz w:val="24"/>
          <w:szCs w:val="24"/>
        </w:rPr>
        <w:t>  在托管本产品的过程中，本产品托管人南京银行股份有限公司严格遵守《商业银行理财子公司管理办法》相关法律法规的规定以及产品说明书的约定，对本产品管理人在报告期内产品的投资运作进行了认真、独立的会计核算和必要的投资监督，认真履行了托管人的义务，没有从事任何损害产品份额持有人利益的行为。</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4.2 托管人对报告期内投资运作遵规守信、净值计算、利润分配等情况的说明</w:t>
      </w:r>
    </w:p>
    <w:p w:rsidR="00474630" w:rsidRDefault="00E63E73" w:rsidP="000D096A">
      <w:pPr>
        <w:spacing w:before="240" w:afterLines="30" w:line="360" w:lineRule="auto"/>
        <w:rPr>
          <w:rFonts w:ascii="方正仿宋简体" w:eastAsia="方正仿宋简体"/>
          <w:sz w:val="24"/>
          <w:szCs w:val="24"/>
        </w:rPr>
      </w:pPr>
      <w:r>
        <w:rPr>
          <w:rFonts w:ascii="方正仿宋简体" w:eastAsia="方正仿宋简体" w:hint="eastAsia"/>
          <w:sz w:val="24"/>
          <w:szCs w:val="24"/>
        </w:rPr>
        <w:t>  本托管人认为,管理人在本产品的投资运作、产品资产净值的计算、产品份额申购赎回价格的计算、产品费用开支及利润分配等问题上不存在损害产品份额持有人利益的行为；在报告期内，严格遵守了有关法律法规，在各重要方面的运作严格按照托管协议和理财产品说明书的规定进行。</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4.3 托管人对本</w:t>
      </w:r>
      <w:r w:rsidR="00DC5A6B">
        <w:rPr>
          <w:rFonts w:ascii="方正仿宋简体" w:eastAsia="方正仿宋简体" w:hint="eastAsia"/>
          <w:b/>
          <w:sz w:val="24"/>
          <w:szCs w:val="24"/>
        </w:rPr>
        <w:t>报告期内</w:t>
      </w:r>
      <w:r>
        <w:rPr>
          <w:rFonts w:ascii="方正仿宋简体" w:eastAsia="方正仿宋简体" w:hint="eastAsia"/>
          <w:b/>
          <w:sz w:val="24"/>
          <w:szCs w:val="24"/>
        </w:rPr>
        <w:t>报告中财务信息等内容的真实、准确和完整发表意见</w:t>
      </w:r>
    </w:p>
    <w:p w:rsidR="00474630" w:rsidRDefault="00E63E73" w:rsidP="000D096A">
      <w:pPr>
        <w:spacing w:before="240" w:afterLines="30" w:line="360" w:lineRule="auto"/>
        <w:rPr>
          <w:rFonts w:ascii="方正仿宋简体" w:eastAsia="方正仿宋简体"/>
          <w:sz w:val="24"/>
          <w:szCs w:val="24"/>
        </w:rPr>
      </w:pPr>
      <w:r>
        <w:rPr>
          <w:rFonts w:ascii="方正仿宋简体" w:eastAsia="方正仿宋简体" w:hint="eastAsia"/>
          <w:sz w:val="24"/>
          <w:szCs w:val="24"/>
        </w:rPr>
        <w:lastRenderedPageBreak/>
        <w:t>  本托管人认为，管理人的信息披露事务符合《商业银行理财子公司管理办法》及其他相关法律法规的规定，产品管理人所编制和披露的本产品报告中的财务指标、净值表现等信息真实、准确、完整，未发现有损害产品持有人利益的行为。</w:t>
      </w:r>
    </w:p>
    <w:p w:rsidR="00474630" w:rsidRDefault="00474630" w:rsidP="000D096A">
      <w:pPr>
        <w:spacing w:before="240" w:afterLines="30" w:line="360" w:lineRule="auto"/>
        <w:rPr>
          <w:rFonts w:ascii="方正仿宋简体" w:eastAsia="方正仿宋简体"/>
          <w:sz w:val="24"/>
          <w:szCs w:val="24"/>
        </w:rPr>
      </w:pPr>
    </w:p>
    <w:p w:rsidR="00474630" w:rsidRDefault="00E63E73" w:rsidP="000D096A">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§5  投资组合报告</w:t>
      </w:r>
    </w:p>
    <w:p w:rsidR="00474630" w:rsidRDefault="00E63E73" w:rsidP="000D096A">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5.1 报告期末产品资产组合情况</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61"/>
        <w:gridCol w:w="3004"/>
        <w:gridCol w:w="3292"/>
      </w:tblGrid>
      <w:tr w:rsidR="00474630">
        <w:trPr>
          <w:trHeight w:val="584"/>
          <w:jc w:val="center"/>
        </w:trPr>
        <w:tc>
          <w:tcPr>
            <w:tcW w:w="745"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861"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资产类别</w:t>
            </w:r>
          </w:p>
        </w:tc>
        <w:tc>
          <w:tcPr>
            <w:tcW w:w="300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穿透前占总资产比例</w:t>
            </w:r>
          </w:p>
        </w:tc>
        <w:tc>
          <w:tcPr>
            <w:tcW w:w="329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穿透后占总资产比例</w:t>
            </w:r>
          </w:p>
        </w:tc>
      </w:tr>
      <w:tr w:rsidR="00474630">
        <w:trPr>
          <w:trHeight w:val="584"/>
          <w:jc w:val="center"/>
        </w:trPr>
        <w:tc>
          <w:tcPr>
            <w:tcW w:w="745"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w:t>
            </w:r>
          </w:p>
        </w:tc>
        <w:tc>
          <w:tcPr>
            <w:tcW w:w="1861"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固定收益类</w:t>
            </w:r>
          </w:p>
        </w:tc>
        <w:tc>
          <w:tcPr>
            <w:tcW w:w="300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r>
              <w:rPr>
                <w:rFonts w:ascii="方正仿宋简体" w:eastAsia="方正仿宋简体" w:hAnsiTheme="minorEastAsia"/>
                <w:sz w:val="24"/>
                <w:szCs w:val="24"/>
              </w:rPr>
              <w:t>%</w:t>
            </w:r>
          </w:p>
        </w:tc>
        <w:tc>
          <w:tcPr>
            <w:tcW w:w="329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94.08</w:t>
            </w:r>
            <w:r>
              <w:rPr>
                <w:rFonts w:ascii="方正仿宋简体" w:eastAsia="方正仿宋简体" w:hAnsiTheme="minorEastAsia"/>
                <w:sz w:val="24"/>
                <w:szCs w:val="24"/>
              </w:rPr>
              <w:t>%</w:t>
            </w:r>
          </w:p>
        </w:tc>
      </w:tr>
      <w:tr w:rsidR="00474630">
        <w:trPr>
          <w:trHeight w:val="584"/>
          <w:jc w:val="center"/>
        </w:trPr>
        <w:tc>
          <w:tcPr>
            <w:tcW w:w="745"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2</w:t>
            </w:r>
          </w:p>
        </w:tc>
        <w:tc>
          <w:tcPr>
            <w:tcW w:w="1861"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权益类</w:t>
            </w:r>
          </w:p>
        </w:tc>
        <w:tc>
          <w:tcPr>
            <w:tcW w:w="300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5.92</w:t>
            </w:r>
            <w:r>
              <w:rPr>
                <w:rFonts w:ascii="方正仿宋简体" w:eastAsia="方正仿宋简体" w:hAnsiTheme="minorEastAsia"/>
                <w:sz w:val="24"/>
                <w:szCs w:val="24"/>
              </w:rPr>
              <w:t>%</w:t>
            </w:r>
          </w:p>
        </w:tc>
      </w:tr>
      <w:tr w:rsidR="00474630">
        <w:trPr>
          <w:jc w:val="center"/>
        </w:trPr>
        <w:tc>
          <w:tcPr>
            <w:tcW w:w="745"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3</w:t>
            </w:r>
          </w:p>
        </w:tc>
        <w:tc>
          <w:tcPr>
            <w:tcW w:w="1861"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商品及金融衍生品类</w:t>
            </w:r>
          </w:p>
        </w:tc>
        <w:tc>
          <w:tcPr>
            <w:tcW w:w="300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474630">
        <w:trPr>
          <w:trHeight w:val="584"/>
          <w:jc w:val="center"/>
        </w:trPr>
        <w:tc>
          <w:tcPr>
            <w:tcW w:w="745"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4</w:t>
            </w:r>
          </w:p>
        </w:tc>
        <w:tc>
          <w:tcPr>
            <w:tcW w:w="1861"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混合类</w:t>
            </w:r>
          </w:p>
        </w:tc>
        <w:tc>
          <w:tcPr>
            <w:tcW w:w="300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474630">
        <w:trPr>
          <w:trHeight w:val="584"/>
          <w:jc w:val="center"/>
        </w:trPr>
        <w:tc>
          <w:tcPr>
            <w:tcW w:w="745" w:type="dxa"/>
            <w:vAlign w:val="bottom"/>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5</w:t>
            </w:r>
          </w:p>
        </w:tc>
        <w:tc>
          <w:tcPr>
            <w:tcW w:w="1861"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合计</w:t>
            </w:r>
          </w:p>
        </w:tc>
        <w:tc>
          <w:tcPr>
            <w:tcW w:w="300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c>
          <w:tcPr>
            <w:tcW w:w="329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r>
    </w:tbl>
    <w:p w:rsidR="00474630" w:rsidRDefault="00474630" w:rsidP="000D096A">
      <w:pPr>
        <w:spacing w:before="240" w:afterLines="30" w:line="360" w:lineRule="auto"/>
        <w:rPr>
          <w:rFonts w:ascii="方正仿宋简体" w:eastAsia="方正仿宋简体"/>
          <w:b/>
          <w:sz w:val="24"/>
          <w:szCs w:val="24"/>
        </w:rPr>
      </w:pPr>
    </w:p>
    <w:p w:rsidR="00474630" w:rsidRDefault="00E63E73" w:rsidP="000D096A">
      <w:pPr>
        <w:spacing w:before="240" w:afterLines="30" w:line="360" w:lineRule="auto"/>
        <w:rPr>
          <w:rFonts w:ascii="方正仿宋简体" w:eastAsia="方正仿宋简体"/>
          <w:b/>
          <w:sz w:val="24"/>
          <w:szCs w:val="24"/>
          <w:shd w:val="clear" w:color="auto" w:fill="FFFFFF"/>
        </w:rPr>
      </w:pPr>
      <w:r>
        <w:rPr>
          <w:rFonts w:ascii="方正仿宋简体" w:eastAsia="方正仿宋简体" w:hint="eastAsia"/>
          <w:b/>
          <w:sz w:val="24"/>
          <w:szCs w:val="24"/>
        </w:rPr>
        <w:t>5.2 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04"/>
        <w:gridCol w:w="1633"/>
        <w:gridCol w:w="2721"/>
        <w:gridCol w:w="2059"/>
        <w:gridCol w:w="1785"/>
      </w:tblGrid>
      <w:tr w:rsidR="00474630">
        <w:trPr>
          <w:trHeight w:val="1322"/>
          <w:jc w:val="center"/>
        </w:trPr>
        <w:tc>
          <w:tcPr>
            <w:tcW w:w="704" w:type="dxa"/>
            <w:vAlign w:val="center"/>
          </w:tcPr>
          <w:p w:rsidR="00474630" w:rsidRDefault="00E63E73" w:rsidP="000D096A">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633" w:type="dxa"/>
            <w:vAlign w:val="center"/>
          </w:tcPr>
          <w:p w:rsidR="00474630" w:rsidRDefault="00E63E73" w:rsidP="000D096A">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代码</w:t>
            </w:r>
          </w:p>
        </w:tc>
        <w:tc>
          <w:tcPr>
            <w:tcW w:w="2721" w:type="dxa"/>
            <w:vAlign w:val="center"/>
          </w:tcPr>
          <w:p w:rsidR="00474630" w:rsidRDefault="00E63E73" w:rsidP="000D096A">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名称</w:t>
            </w:r>
          </w:p>
        </w:tc>
        <w:tc>
          <w:tcPr>
            <w:tcW w:w="2059" w:type="dxa"/>
            <w:vAlign w:val="center"/>
          </w:tcPr>
          <w:p w:rsidR="00474630" w:rsidRDefault="00E63E73" w:rsidP="000D096A">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公允价值（元）</w:t>
            </w:r>
          </w:p>
        </w:tc>
        <w:tc>
          <w:tcPr>
            <w:tcW w:w="1785" w:type="dxa"/>
            <w:vAlign w:val="center"/>
          </w:tcPr>
          <w:p w:rsidR="00474630" w:rsidRDefault="00E63E73" w:rsidP="000D096A">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占产品资产净值比例（％）</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ZJQTT202301090001</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江苏信托鑫盈3号集合资金信托计划</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718,932,781.52</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30.44</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ZJQTT202312130001</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紫金信托合盛1号集合资金信托计划</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712,399,817.16</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30.17</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XTDKX202504220006</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华鑫信托·嘉盈和颜68号集合资金信托计划（第11期）</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301,746,354.00</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12.78</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XTDKX202504020021</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华鑫信托嘉盈朝夕19号集合资金信托计划第1期</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251,600,050.00</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10.65</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XTDKX202504220004</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天津信托-向实31号集合资金信托计划（第1期）</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201,179,216.00</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8.52</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ZJQTT202301110001</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外贸信托-鑫华优享1号证券投资集合资金信托计划</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169,028,312.76</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7.16</w:t>
            </w:r>
          </w:p>
        </w:tc>
      </w:tr>
      <w:tr>
        <w:trPr>
          <w:jc w:val="center"/>
        </w:trPr>
        <w:tc>
          <w:tcPr>
            <w:tcW w:w="704"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w:t>
            </w:r>
          </w:p>
        </w:tc>
        <w:tc>
          <w:tcPr>
            <w:tcW w:w="1633"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XTDKX202503240001</w:t>
            </w:r>
          </w:p>
        </w:tc>
        <w:tc>
          <w:tcPr>
            <w:tcW w:w="2721"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天津信托-天实511号集合资金信托计划（第1期）</w:t>
            </w:r>
          </w:p>
        </w:tc>
        <w:tc>
          <w:tcPr>
            <w:tcW w:w="2059"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10,085,807.70</w:t>
            </w:r>
          </w:p>
        </w:tc>
        <w:tc>
          <w:tcPr>
            <w:tcW w:w="178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0.43</w:t>
            </w:r>
          </w:p>
        </w:tc>
      </w:tr>
    </w:tbl>
    <w:p w:rsidR="00474630" w:rsidRDefault="00474630" w:rsidP="000D096A">
      <w:pPr>
        <w:spacing w:before="240" w:afterLines="30" w:line="360" w:lineRule="auto"/>
        <w:rPr>
          <w:rFonts w:ascii="方正仿宋简体" w:eastAsia="方正仿宋简体" w:hAnsi="宋体" w:cs="宋体"/>
          <w:sz w:val="24"/>
          <w:szCs w:val="24"/>
          <w:shd w:val="clear" w:color="auto" w:fill="FFFFFF"/>
        </w:rPr>
      </w:pPr>
    </w:p>
    <w:p w:rsidR="00474630" w:rsidRDefault="00E63E73" w:rsidP="000D096A">
      <w:pPr>
        <w:spacing w:before="240" w:afterLines="30" w:line="360" w:lineRule="auto"/>
        <w:rPr>
          <w:rFonts w:ascii="方正仿宋简体" w:eastAsia="方正仿宋简体" w:hAnsi="宋体" w:cs="宋体"/>
          <w:b/>
          <w:sz w:val="24"/>
          <w:szCs w:val="24"/>
          <w:shd w:val="clear" w:color="auto" w:fill="FFFFFF"/>
        </w:rPr>
      </w:pPr>
      <w:r>
        <w:rPr>
          <w:rFonts w:ascii="方正仿宋简体" w:eastAsia="方正仿宋简体" w:hAnsi="宋体" w:cs="宋体" w:hint="eastAsia"/>
          <w:b/>
          <w:sz w:val="24"/>
          <w:szCs w:val="24"/>
          <w:shd w:val="clear" w:color="auto" w:fill="FFFFFF"/>
        </w:rPr>
        <w:t>5.3报告期末非标准化债权类资产明细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07"/>
        <w:gridCol w:w="1272"/>
        <w:gridCol w:w="1695"/>
        <w:gridCol w:w="1412"/>
        <w:gridCol w:w="1695"/>
        <w:gridCol w:w="1272"/>
        <w:gridCol w:w="849"/>
      </w:tblGrid>
      <w:tr w:rsidR="00474630">
        <w:trPr>
          <w:jc w:val="center"/>
        </w:trPr>
        <w:tc>
          <w:tcPr>
            <w:tcW w:w="707"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27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融资客户</w:t>
            </w:r>
          </w:p>
        </w:tc>
        <w:tc>
          <w:tcPr>
            <w:tcW w:w="1695"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项目名称</w:t>
            </w:r>
          </w:p>
        </w:tc>
        <w:tc>
          <w:tcPr>
            <w:tcW w:w="141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剩余融资期限</w:t>
            </w:r>
          </w:p>
        </w:tc>
        <w:tc>
          <w:tcPr>
            <w:tcW w:w="1695"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到期收益分配</w:t>
            </w:r>
          </w:p>
        </w:tc>
        <w:tc>
          <w:tcPr>
            <w:tcW w:w="1272"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交易结构</w:t>
            </w:r>
          </w:p>
        </w:tc>
        <w:tc>
          <w:tcPr>
            <w:tcW w:w="849"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风险状况</w:t>
            </w:r>
          </w:p>
        </w:tc>
      </w:tr>
      <w:tr>
        <w:trPr>
          <w:jc w:val="center"/>
        </w:trPr>
        <w:tc>
          <w:tcPr>
            <w:tcW w:w="70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深圳智领星辰科技有限公司</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华鑫信托嘉盈朝夕19号集合资金信托计划第1期</w:t>
            </w:r>
          </w:p>
        </w:tc>
        <w:tc>
          <w:tcPr>
            <w:tcW w:w="141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283</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按月付息，到期还本</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信托贷款</w:t>
            </w:r>
          </w:p>
        </w:tc>
        <w:tc>
          <w:tcPr>
            <w:tcW w:w="84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r>
      <w:tr>
        <w:trPr>
          <w:jc w:val="center"/>
        </w:trPr>
        <w:tc>
          <w:tcPr>
            <w:tcW w:w="70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蚂蚁智信（杭州）信息技术有限公司</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天津信托-天实511号集合资金信托计划（第1期）</w:t>
            </w:r>
          </w:p>
        </w:tc>
        <w:tc>
          <w:tcPr>
            <w:tcW w:w="141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284</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按月付息，到期还本</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信托贷款</w:t>
            </w:r>
          </w:p>
        </w:tc>
        <w:tc>
          <w:tcPr>
            <w:tcW w:w="84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r>
      <w:tr>
        <w:trPr>
          <w:jc w:val="center"/>
        </w:trPr>
        <w:tc>
          <w:tcPr>
            <w:tcW w:w="70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蚂蚁智信（杭州）信息技术有限公司</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华鑫信托·嘉盈和颜68号集合资金信托计划（第11期）</w:t>
            </w:r>
          </w:p>
        </w:tc>
        <w:tc>
          <w:tcPr>
            <w:tcW w:w="141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294</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按月付息，到期还本</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信托贷款</w:t>
            </w:r>
          </w:p>
        </w:tc>
        <w:tc>
          <w:tcPr>
            <w:tcW w:w="84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r>
      <w:tr>
        <w:trPr>
          <w:jc w:val="center"/>
        </w:trPr>
        <w:tc>
          <w:tcPr>
            <w:tcW w:w="70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蚂蚁星河(重庆)信息技术有限公司</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天津信托-向实31号集合资金信托计划（第1期）</w:t>
            </w:r>
          </w:p>
        </w:tc>
        <w:tc>
          <w:tcPr>
            <w:tcW w:w="141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294</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按月付息，到期还本</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信托贷款</w:t>
            </w:r>
          </w:p>
        </w:tc>
        <w:tc>
          <w:tcPr>
            <w:tcW w:w="84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r>
    </w:tbl>
    <w:p w:rsidR="00474630" w:rsidRDefault="00474630" w:rsidP="000D096A">
      <w:pPr>
        <w:spacing w:before="240" w:afterLines="30" w:line="360" w:lineRule="auto"/>
        <w:rPr>
          <w:rFonts w:ascii="方正仿宋简体" w:eastAsia="方正仿宋简体" w:hAnsi="宋体" w:cs="宋体"/>
          <w:kern w:val="0"/>
          <w:sz w:val="24"/>
          <w:szCs w:val="24"/>
        </w:rPr>
      </w:pPr>
    </w:p>
    <w:p w:rsidR="00474630" w:rsidRDefault="00E63E73" w:rsidP="000D096A">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§6投资账户信息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968"/>
        <w:gridCol w:w="1437"/>
        <w:gridCol w:w="2529"/>
        <w:gridCol w:w="1984"/>
        <w:gridCol w:w="1984"/>
      </w:tblGrid>
      <w:tr w:rsidR="00474630">
        <w:trPr>
          <w:trHeight w:val="705"/>
          <w:jc w:val="center"/>
        </w:trPr>
        <w:tc>
          <w:tcPr>
            <w:tcW w:w="968"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437"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账户类型</w:t>
            </w:r>
          </w:p>
        </w:tc>
        <w:tc>
          <w:tcPr>
            <w:tcW w:w="2529"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账号</w:t>
            </w:r>
          </w:p>
        </w:tc>
        <w:tc>
          <w:tcPr>
            <w:tcW w:w="198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账户名称</w:t>
            </w:r>
          </w:p>
        </w:tc>
        <w:tc>
          <w:tcPr>
            <w:tcW w:w="1984" w:type="dxa"/>
            <w:vAlign w:val="center"/>
          </w:tcPr>
          <w:p w:rsidR="00474630" w:rsidRDefault="00E63E73" w:rsidP="000D096A">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开户单位</w:t>
            </w:r>
          </w:p>
        </w:tc>
      </w:tr>
      <w:tr>
        <w:trPr>
          <w:jc w:val="center"/>
        </w:trPr>
        <w:tc>
          <w:tcPr>
            <w:tcW w:w="968"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43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托管账户</w:t>
            </w:r>
          </w:p>
        </w:tc>
        <w:tc>
          <w:tcPr>
            <w:tcW w:w="252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0101020000001408</w:t>
            </w:r>
          </w:p>
        </w:tc>
        <w:tc>
          <w:tcPr>
            <w:tcW w:w="1984"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南银理财珠联璧合鑫逸稳一年210期</w:t>
            </w:r>
          </w:p>
        </w:tc>
        <w:tc>
          <w:tcPr>
            <w:tcW w:w="1984"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w:t>
            </w:r>
          </w:p>
        </w:tc>
      </w:tr>
    </w:tbl>
    <w:p w:rsidR="00474630" w:rsidRDefault="00474630" w:rsidP="000D096A">
      <w:pPr>
        <w:spacing w:before="240" w:afterLines="30" w:line="360" w:lineRule="auto"/>
        <w:rPr>
          <w:rFonts w:ascii="方正仿宋简体" w:eastAsia="方正仿宋简体"/>
          <w:sz w:val="24"/>
          <w:szCs w:val="24"/>
        </w:rPr>
      </w:pPr>
    </w:p>
    <w:p w:rsidR="00474630" w:rsidRDefault="00E63E73" w:rsidP="000D096A">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§7 关联交易情况</w:t>
      </w:r>
    </w:p>
    <w:p w:rsidR="00474630" w:rsidRDefault="00E63E73" w:rsidP="000D096A">
      <w:pPr>
        <w:widowControl/>
        <w:shd w:val="clear" w:color="auto" w:fill="FFFFFF"/>
        <w:spacing w:before="240" w:afterLines="30" w:line="360" w:lineRule="auto"/>
        <w:ind w:firstLineChars="200" w:firstLine="480"/>
        <w:jc w:val="left"/>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报告期内，产品投资于关联方发行的证券</w:t>
      </w:r>
      <w:r>
        <w:rPr>
          <w:rFonts w:ascii="方正仿宋简体" w:eastAsia="方正仿宋简体" w:hAnsi="宋体" w:cs="宋体"/>
          <w:color w:val="000000"/>
          <w:kern w:val="0"/>
          <w:sz w:val="24"/>
          <w:szCs w:val="24"/>
        </w:rPr>
        <w:t/>
      </w:r>
      <w:r>
        <w:rPr>
          <w:rFonts w:ascii="方正仿宋简体" w:eastAsia="方正仿宋简体" w:hAnsi="宋体" w:cs="宋体" w:hint="eastAsia"/>
          <w:color w:val="000000"/>
          <w:kern w:val="0"/>
          <w:sz w:val="24"/>
          <w:szCs w:val="24"/>
        </w:rPr>
        <w:t/>
      </w:r>
      <w:r>
        <w:rPr>
          <w:rFonts w:ascii="方正仿宋简体" w:eastAsia="方正仿宋简体" w:hAnsi="宋体" w:cs="宋体"/>
          <w:color w:val="000000"/>
          <w:kern w:val="0"/>
          <w:sz w:val="24"/>
          <w:szCs w:val="24"/>
        </w:rPr>
        <w:t>0.00</w:t>
      </w:r>
      <w:r>
        <w:rPr>
          <w:rFonts w:ascii="方正仿宋简体" w:eastAsia="方正仿宋简体" w:hAnsi="宋体" w:cs="宋体" w:hint="eastAsia"/>
          <w:color w:val="000000"/>
          <w:kern w:val="0"/>
          <w:sz w:val="24"/>
          <w:szCs w:val="24"/>
        </w:rPr>
        <w:t>元。</w:t>
      </w:r>
      <w:bookmarkStart w:id="0" w:name="_GoBack"/>
      <w:bookmarkEnd w:id="0"/>
    </w:p>
    <w:p w:rsidR="00474630" w:rsidRDefault="00E63E73" w:rsidP="000D096A">
      <w:pPr>
        <w:widowControl/>
        <w:shd w:val="clear" w:color="auto" w:fill="FFFFFF"/>
        <w:spacing w:before="240" w:afterLines="30" w:line="360" w:lineRule="auto"/>
        <w:ind w:firstLineChars="200" w:firstLine="480"/>
        <w:jc w:val="left"/>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产品投资于关联方作为融资人的非标准化债权类资产业务交易金额</w:t>
      </w:r>
      <w:r>
        <w:rPr>
          <w:rFonts w:ascii="方正仿宋简体" w:eastAsia="方正仿宋简体" w:hAnsi="宋体" w:cs="宋体"/>
          <w:color w:val="000000"/>
          <w:kern w:val="0"/>
          <w:sz w:val="24"/>
          <w:szCs w:val="24"/>
        </w:rPr>
        <w:t/>
      </w:r>
      <w:r>
        <w:rPr>
          <w:rFonts w:ascii="方正仿宋简体" w:eastAsia="方正仿宋简体" w:hAnsi="宋体" w:cs="宋体" w:hint="eastAsia"/>
          <w:color w:val="000000"/>
          <w:kern w:val="0"/>
          <w:sz w:val="24"/>
          <w:szCs w:val="24"/>
        </w:rPr>
        <w:t/>
      </w:r>
      <w:r>
        <w:rPr>
          <w:rFonts w:ascii="方正仿宋简体" w:eastAsia="方正仿宋简体" w:hAnsi="宋体" w:cs="宋体"/>
          <w:color w:val="000000"/>
          <w:kern w:val="0"/>
          <w:sz w:val="24"/>
          <w:szCs w:val="24"/>
        </w:rPr>
        <w:t>0.00</w:t>
      </w:r>
      <w:r>
        <w:rPr>
          <w:rFonts w:ascii="方正仿宋简体" w:eastAsia="方正仿宋简体" w:hAnsi="宋体" w:cs="宋体" w:hint="eastAsia"/>
          <w:color w:val="000000"/>
          <w:kern w:val="0"/>
          <w:sz w:val="24"/>
          <w:szCs w:val="24"/>
        </w:rPr>
        <w:t>元。</w:t>
      </w:r>
    </w:p>
    <w:p w:rsidR="00474630" w:rsidRDefault="00E63E73" w:rsidP="000D096A">
      <w:pPr>
        <w:widowControl/>
        <w:shd w:val="clear" w:color="auto" w:fill="FFFFFF"/>
        <w:spacing w:before="240" w:afterLines="30" w:line="360" w:lineRule="auto"/>
        <w:ind w:firstLineChars="200" w:firstLine="480"/>
        <w:jc w:val="left"/>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产品投资于关联方承销的证券交易金额</w:t>
      </w:r>
      <w:r>
        <w:rPr>
          <w:rFonts w:ascii="方正仿宋简体" w:eastAsia="方正仿宋简体" w:hAnsi="宋体" w:cs="宋体"/>
          <w:color w:val="000000"/>
          <w:kern w:val="0"/>
          <w:sz w:val="24"/>
          <w:szCs w:val="24"/>
        </w:rPr>
        <w:t/>
      </w:r>
      <w:r>
        <w:rPr>
          <w:rFonts w:ascii="方正仿宋简体" w:eastAsia="方正仿宋简体" w:hAnsi="宋体" w:cs="宋体" w:hint="eastAsia"/>
          <w:color w:val="000000"/>
          <w:kern w:val="0"/>
          <w:sz w:val="24"/>
          <w:szCs w:val="24"/>
        </w:rPr>
        <w:t/>
      </w:r>
      <w:r>
        <w:rPr>
          <w:rFonts w:ascii="方正仿宋简体" w:eastAsia="方正仿宋简体" w:hAnsi="宋体" w:cs="宋体"/>
          <w:color w:val="000000"/>
          <w:kern w:val="0"/>
          <w:sz w:val="24"/>
          <w:szCs w:val="24"/>
        </w:rPr>
        <w:t>0.00</w:t>
      </w:r>
      <w:r>
        <w:rPr>
          <w:rFonts w:ascii="方正仿宋简体" w:eastAsia="方正仿宋简体" w:hAnsi="宋体" w:cs="宋体" w:hint="eastAsia"/>
          <w:color w:val="000000"/>
          <w:kern w:val="0"/>
          <w:sz w:val="24"/>
          <w:szCs w:val="24"/>
        </w:rPr>
        <w:t>元。</w:t>
      </w:r>
    </w:p>
    <w:p w:rsidR="00474630" w:rsidRDefault="00E63E73" w:rsidP="000D096A">
      <w:pPr>
        <w:widowControl/>
        <w:shd w:val="clear" w:color="auto" w:fill="FFFFFF"/>
        <w:spacing w:before="240" w:afterLines="30" w:line="360" w:lineRule="auto"/>
        <w:ind w:firstLineChars="200" w:firstLine="480"/>
        <w:jc w:val="left"/>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lastRenderedPageBreak/>
        <w:t>产品与关联方作为交易对手开展的投融资业务交易金额</w:t>
      </w:r>
      <w:r>
        <w:rPr>
          <w:rFonts w:ascii="方正仿宋简体" w:eastAsia="方正仿宋简体" w:hAnsi="宋体" w:cs="宋体"/>
          <w:color w:val="000000"/>
          <w:kern w:val="0"/>
          <w:sz w:val="24"/>
          <w:szCs w:val="24"/>
        </w:rPr>
        <w:t/>
      </w:r>
      <w:r>
        <w:rPr>
          <w:rFonts w:ascii="方正仿宋简体" w:eastAsia="方正仿宋简体" w:hAnsi="宋体" w:cs="宋体" w:hint="eastAsia"/>
          <w:color w:val="000000"/>
          <w:kern w:val="0"/>
          <w:sz w:val="24"/>
          <w:szCs w:val="24"/>
        </w:rPr>
        <w:t/>
      </w:r>
      <w:r>
        <w:rPr>
          <w:rFonts w:ascii="方正仿宋简体" w:eastAsia="方正仿宋简体" w:hAnsi="宋体" w:cs="宋体"/>
          <w:color w:val="000000"/>
          <w:kern w:val="0"/>
          <w:sz w:val="24"/>
          <w:szCs w:val="24"/>
        </w:rPr>
        <w:t>0.00</w:t>
      </w:r>
      <w:r>
        <w:rPr>
          <w:rFonts w:ascii="方正仿宋简体" w:eastAsia="方正仿宋简体" w:hAnsi="宋体" w:cs="宋体" w:hint="eastAsia"/>
          <w:color w:val="000000"/>
          <w:kern w:val="0"/>
          <w:sz w:val="24"/>
          <w:szCs w:val="24"/>
        </w:rPr>
        <w:t>元。</w:t>
      </w:r>
    </w:p>
    <w:p w:rsidR="00474630" w:rsidRDefault="00E63E73" w:rsidP="000D096A">
      <w:pPr>
        <w:widowControl/>
        <w:shd w:val="clear" w:color="auto" w:fill="FFFFFF"/>
        <w:spacing w:before="240" w:afterLines="30" w:line="360" w:lineRule="auto"/>
        <w:ind w:firstLineChars="200" w:firstLine="480"/>
        <w:jc w:val="left"/>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产品投资关联方作为管理人的资产管理产品交易金额</w:t>
      </w:r>
      <w:r>
        <w:rPr>
          <w:rFonts w:ascii="方正仿宋简体" w:eastAsia="方正仿宋简体" w:hAnsi="宋体" w:cs="宋体"/>
          <w:color w:val="000000"/>
          <w:kern w:val="0"/>
          <w:sz w:val="24"/>
          <w:szCs w:val="24"/>
        </w:rPr>
        <w:t/>
      </w:r>
      <w:r>
        <w:rPr>
          <w:rFonts w:ascii="方正仿宋简体" w:eastAsia="方正仿宋简体" w:hAnsi="宋体" w:cs="宋体" w:hint="eastAsia"/>
          <w:color w:val="000000"/>
          <w:kern w:val="0"/>
          <w:sz w:val="24"/>
          <w:szCs w:val="24"/>
        </w:rPr>
        <w:t/>
      </w:r>
      <w:r>
        <w:rPr>
          <w:rFonts w:ascii="方正仿宋简体" w:eastAsia="方正仿宋简体" w:hAnsi="宋体" w:cs="宋体"/>
          <w:color w:val="000000"/>
          <w:kern w:val="0"/>
          <w:sz w:val="24"/>
          <w:szCs w:val="24"/>
        </w:rPr>
        <w:t>700,000,000.00</w:t>
      </w:r>
      <w:r>
        <w:rPr>
          <w:rFonts w:ascii="方正仿宋简体" w:eastAsia="方正仿宋简体" w:hAnsi="宋体" w:cs="宋体" w:hint="eastAsia"/>
          <w:color w:val="000000"/>
          <w:kern w:val="0"/>
          <w:sz w:val="24"/>
          <w:szCs w:val="24"/>
        </w:rPr>
        <w:t>元。</w:t>
      </w:r>
    </w:p>
    <w:p w:rsidR="00474630" w:rsidRDefault="00AF666C" w:rsidP="000D096A">
      <w:pPr>
        <w:widowControl/>
        <w:shd w:val="clear" w:color="auto" w:fill="FFFFFF"/>
        <w:spacing w:before="240" w:afterLines="30" w:line="360" w:lineRule="auto"/>
        <w:ind w:firstLineChars="200" w:firstLine="480"/>
        <w:jc w:val="left"/>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产品</w:t>
      </w:r>
      <w:r w:rsidR="00E63E73">
        <w:rPr>
          <w:rFonts w:ascii="方正仿宋简体" w:eastAsia="方正仿宋简体" w:hAnsi="宋体" w:cs="宋体" w:hint="eastAsia"/>
          <w:color w:val="000000"/>
          <w:kern w:val="0"/>
          <w:sz w:val="24"/>
          <w:szCs w:val="24"/>
        </w:rPr>
        <w:t>支付关联方托管费</w:t>
      </w:r>
      <w:r w:rsidR="00E63E73">
        <w:rPr>
          <w:rFonts w:ascii="方正仿宋简体" w:eastAsia="方正仿宋简体" w:hAnsi="宋体" w:cs="宋体"/>
          <w:color w:val="000000"/>
          <w:kern w:val="0"/>
          <w:sz w:val="24"/>
          <w:szCs w:val="24"/>
        </w:rPr>
        <w:t/>
      </w:r>
      <w:r w:rsidR="00E63E73">
        <w:rPr>
          <w:rFonts w:ascii="方正仿宋简体" w:eastAsia="方正仿宋简体" w:hAnsi="宋体" w:cs="宋体" w:hint="eastAsia"/>
          <w:color w:val="000000"/>
          <w:kern w:val="0"/>
          <w:sz w:val="24"/>
          <w:szCs w:val="24"/>
        </w:rPr>
        <w:t/>
      </w:r>
      <w:r w:rsidR="00E63E73">
        <w:rPr>
          <w:rFonts w:ascii="方正仿宋简体" w:eastAsia="方正仿宋简体" w:hAnsi="宋体" w:cs="宋体"/>
          <w:color w:val="000000"/>
          <w:kern w:val="0"/>
          <w:sz w:val="24"/>
          <w:szCs w:val="24"/>
        </w:rPr>
        <w:t>0.00</w:t>
      </w:r>
      <w:r>
        <w:rPr>
          <w:rFonts w:ascii="方正仿宋简体" w:eastAsia="方正仿宋简体" w:hAnsi="宋体" w:cs="宋体" w:hint="eastAsia"/>
          <w:color w:val="000000"/>
          <w:kern w:val="0"/>
          <w:sz w:val="24"/>
          <w:szCs w:val="24"/>
        </w:rPr>
        <w:t>元，</w:t>
      </w:r>
      <w:r w:rsidR="00E63E73">
        <w:rPr>
          <w:rFonts w:ascii="方正仿宋简体" w:eastAsia="方正仿宋简体" w:hAnsi="宋体" w:cs="宋体" w:hint="eastAsia"/>
          <w:color w:val="000000"/>
          <w:kern w:val="0"/>
          <w:sz w:val="24"/>
          <w:szCs w:val="24"/>
        </w:rPr>
        <w:t>支付关联方代销费</w:t>
      </w:r>
      <w:r w:rsidR="00E63E73">
        <w:rPr>
          <w:rFonts w:ascii="方正仿宋简体" w:eastAsia="方正仿宋简体" w:hAnsi="宋体" w:cs="宋体"/>
          <w:color w:val="000000"/>
          <w:kern w:val="0"/>
          <w:sz w:val="24"/>
          <w:szCs w:val="24"/>
        </w:rPr>
        <w:t/>
      </w:r>
      <w:r w:rsidR="00E63E73">
        <w:rPr>
          <w:rFonts w:ascii="方正仿宋简体" w:eastAsia="方正仿宋简体" w:hAnsi="宋体" w:cs="宋体" w:hint="eastAsia"/>
          <w:color w:val="000000"/>
          <w:kern w:val="0"/>
          <w:sz w:val="24"/>
          <w:szCs w:val="24"/>
        </w:rPr>
        <w:t/>
      </w:r>
      <w:r w:rsidR="00E63E73">
        <w:rPr>
          <w:rFonts w:ascii="方正仿宋简体" w:eastAsia="方正仿宋简体" w:hAnsi="宋体" w:cs="宋体"/>
          <w:color w:val="000000"/>
          <w:kern w:val="0"/>
          <w:sz w:val="24"/>
          <w:szCs w:val="24"/>
        </w:rPr>
        <w:t>33,207.83</w:t>
      </w:r>
      <w:r w:rsidR="00E63E73">
        <w:rPr>
          <w:rFonts w:ascii="方正仿宋简体" w:eastAsia="方正仿宋简体" w:hAnsi="宋体" w:cs="宋体" w:hint="eastAsia"/>
          <w:color w:val="000000"/>
          <w:kern w:val="0"/>
          <w:sz w:val="24"/>
          <w:szCs w:val="24"/>
        </w:rPr>
        <w:t>元。</w:t>
      </w:r>
    </w:p>
    <w:p w:rsidR="00474630" w:rsidRDefault="00E63E73" w:rsidP="000D096A">
      <w:pPr>
        <w:widowControl/>
        <w:shd w:val="clear" w:color="auto" w:fill="FFFFFF"/>
        <w:spacing w:before="240" w:afterLines="30" w:line="360" w:lineRule="auto"/>
        <w:ind w:firstLineChars="200" w:firstLine="480"/>
        <w:jc w:val="left"/>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产品发生其他关联交易金额</w:t>
      </w:r>
      <w:r>
        <w:rPr>
          <w:rFonts w:ascii="方正仿宋简体" w:eastAsia="方正仿宋简体" w:hAnsi="宋体" w:cs="宋体"/>
          <w:color w:val="000000"/>
          <w:kern w:val="0"/>
          <w:sz w:val="24"/>
          <w:szCs w:val="24"/>
        </w:rPr>
        <w:t/>
      </w:r>
      <w:r>
        <w:rPr>
          <w:rFonts w:ascii="方正仿宋简体" w:eastAsia="方正仿宋简体" w:hAnsi="宋体" w:cs="宋体" w:hint="eastAsia"/>
          <w:color w:val="000000"/>
          <w:kern w:val="0"/>
          <w:sz w:val="24"/>
          <w:szCs w:val="24"/>
        </w:rPr>
        <w:t/>
      </w:r>
      <w:r>
        <w:rPr>
          <w:rFonts w:ascii="方正仿宋简体" w:eastAsia="方正仿宋简体" w:hAnsi="宋体" w:cs="宋体"/>
          <w:color w:val="000000"/>
          <w:kern w:val="0"/>
          <w:sz w:val="24"/>
          <w:szCs w:val="24"/>
        </w:rPr>
        <w:t>0.00</w:t>
      </w:r>
      <w:r>
        <w:rPr>
          <w:rFonts w:ascii="方正仿宋简体" w:eastAsia="方正仿宋简体" w:hAnsi="宋体" w:cs="宋体" w:hint="eastAsia"/>
          <w:color w:val="000000"/>
          <w:kern w:val="0"/>
          <w:sz w:val="24"/>
          <w:szCs w:val="24"/>
        </w:rPr>
        <w:t>元。</w:t>
      </w:r>
    </w:p>
    <w:p w:rsidR="00474630" w:rsidRDefault="00E63E73" w:rsidP="000D096A">
      <w:pPr>
        <w:spacing w:before="240" w:afterLines="30" w:line="360" w:lineRule="auto"/>
        <w:ind w:firstLineChars="200" w:firstLine="480"/>
        <w:rPr>
          <w:rFonts w:ascii="方正仿宋简体" w:eastAsia="方正仿宋简体" w:hAnsi="宋体" w:cs="宋体"/>
          <w:kern w:val="0"/>
          <w:sz w:val="24"/>
          <w:szCs w:val="24"/>
        </w:rPr>
      </w:pPr>
      <w:r>
        <w:rPr>
          <w:rFonts w:ascii="方正仿宋简体" w:eastAsia="方正仿宋简体" w:hAnsi="宋体" w:cs="宋体" w:hint="eastAsia"/>
          <w:color w:val="000000"/>
          <w:kern w:val="0"/>
          <w:sz w:val="24"/>
          <w:szCs w:val="24"/>
        </w:rPr>
        <w:t>报告期内，产品未发生重大关联交易。</w:t>
      </w:r>
    </w:p>
    <w:p w:rsidR="00474630" w:rsidRDefault="00474630" w:rsidP="000D096A">
      <w:pPr>
        <w:spacing w:before="240" w:afterLines="30" w:line="360" w:lineRule="auto"/>
        <w:rPr>
          <w:rFonts w:ascii="方正仿宋简体" w:eastAsia="方正仿宋简体" w:hAnsi="宋体" w:cs="宋体"/>
          <w:kern w:val="0"/>
          <w:sz w:val="24"/>
          <w:szCs w:val="24"/>
        </w:rPr>
      </w:pPr>
    </w:p>
    <w:p w:rsidR="00474630" w:rsidRDefault="00474630" w:rsidP="000D096A">
      <w:pPr>
        <w:spacing w:before="240" w:afterLines="30" w:line="360" w:lineRule="auto"/>
        <w:rPr>
          <w:rFonts w:ascii="方正仿宋简体" w:eastAsia="方正仿宋简体" w:hAnsi="宋体" w:cs="宋体"/>
          <w:kern w:val="0"/>
          <w:sz w:val="24"/>
          <w:szCs w:val="24"/>
        </w:rPr>
      </w:pPr>
    </w:p>
    <w:p w:rsidR="00474630" w:rsidRDefault="00474630" w:rsidP="000D096A">
      <w:pPr>
        <w:spacing w:before="240" w:afterLines="30" w:line="360" w:lineRule="auto"/>
        <w:rPr>
          <w:rFonts w:ascii="方正仿宋简体" w:eastAsia="方正仿宋简体" w:hAnsi="宋体" w:cs="宋体"/>
          <w:kern w:val="0"/>
          <w:sz w:val="24"/>
          <w:szCs w:val="24"/>
        </w:rPr>
      </w:pPr>
    </w:p>
    <w:p w:rsidR="00474630" w:rsidRDefault="00E63E73" w:rsidP="000D096A">
      <w:pPr>
        <w:spacing w:before="240" w:afterLines="30" w:line="360" w:lineRule="auto"/>
        <w:jc w:val="right"/>
        <w:rPr>
          <w:rFonts w:ascii="方正仿宋简体" w:eastAsia="方正仿宋简体" w:hAnsi="Calibri"/>
          <w:b/>
          <w:sz w:val="24"/>
          <w:szCs w:val="24"/>
        </w:rPr>
      </w:pPr>
      <w:r>
        <w:rPr>
          <w:rFonts w:ascii="方正仿宋简体" w:eastAsia="方正仿宋简体" w:hAnsi="Calibri" w:hint="eastAsia"/>
          <w:b/>
          <w:sz w:val="24"/>
          <w:szCs w:val="24"/>
        </w:rPr>
        <w:t>南银理财有限责任公司</w:t>
      </w:r>
    </w:p>
    <w:p w:rsidR="00474630" w:rsidRDefault="00E63E73" w:rsidP="003543F3">
      <w:pPr>
        <w:spacing w:before="240" w:afterLines="30" w:line="360" w:lineRule="auto"/>
        <w:jc w:val="right"/>
        <w:rPr>
          <w:rFonts w:ascii="方正仿宋简体" w:eastAsia="方正仿宋简体"/>
          <w:b/>
          <w:sz w:val="24"/>
          <w:szCs w:val="24"/>
        </w:rPr>
      </w:pPr>
      <w:r>
        <w:rPr>
          <w:rFonts w:ascii="方正仿宋简体" w:eastAsia="方正仿宋简体" w:hint="eastAsia"/>
          <w:b/>
          <w:sz w:val="24"/>
          <w:szCs w:val="24"/>
        </w:rPr>
        <w:t>2025年06月30日</w:t>
      </w:r>
    </w:p>
    <w:sectPr w:rsidR="00474630" w:rsidSect="00474630">
      <w:headerReference w:type="default" r:id="rId7"/>
      <w:footerReference w:type="even" r:id="rId8"/>
      <w:footerReference w:type="default" r:id="rId9"/>
      <w:headerReference w:type="first" r:id="rId10"/>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65F" w:rsidRDefault="003C565F" w:rsidP="00474630">
      <w:r>
        <w:separator/>
      </w:r>
    </w:p>
  </w:endnote>
  <w:endnote w:type="continuationSeparator" w:id="1">
    <w:p w:rsidR="003C565F" w:rsidRDefault="003C565F" w:rsidP="00474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30" w:rsidRDefault="003543F3">
    <w:pPr>
      <w:pStyle w:val="a6"/>
      <w:framePr w:wrap="around" w:vAnchor="text" w:hAnchor="margin" w:xAlign="center" w:y="1"/>
      <w:rPr>
        <w:rStyle w:val="aa"/>
      </w:rPr>
    </w:pPr>
    <w:r>
      <w:fldChar w:fldCharType="begin"/>
    </w:r>
    <w:r w:rsidR="00E63E73">
      <w:rPr>
        <w:rStyle w:val="aa"/>
      </w:rPr>
      <w:instrText xml:space="preserve">PAGE  </w:instrText>
    </w:r>
    <w:r>
      <w:fldChar w:fldCharType="end"/>
    </w:r>
  </w:p>
  <w:p w:rsidR="00474630" w:rsidRDefault="0047463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30" w:rsidRDefault="00474630">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65F" w:rsidRDefault="003C565F" w:rsidP="00474630">
      <w:r>
        <w:separator/>
      </w:r>
    </w:p>
  </w:footnote>
  <w:footnote w:type="continuationSeparator" w:id="1">
    <w:p w:rsidR="003C565F" w:rsidRDefault="003C565F" w:rsidP="004746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30" w:rsidRDefault="00474630">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30" w:rsidRDefault="00474630">
    <w:pPr>
      <w:pStyle w:val="a7"/>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compressPunctuation"/>
  <w:hdrShapeDefaults>
    <o:shapedefaults v:ext="edit" spidmax="21506"/>
  </w:hdrShapeDefaults>
  <w:footnotePr>
    <w:footnote w:id="0"/>
    <w:footnote w:id="1"/>
  </w:footnotePr>
  <w:endnotePr>
    <w:endnote w:id="0"/>
    <w:endnote w:id="1"/>
  </w:endnotePr>
  <w:compat>
    <w:doNotExpandShiftReturn/>
    <w:useFELayout/>
  </w:compat>
  <w:rsids>
    <w:rsidRoot w:val="00172A27"/>
    <w:rsid w:val="00000A95"/>
    <w:rsid w:val="000060E5"/>
    <w:rsid w:val="00015019"/>
    <w:rsid w:val="000234FF"/>
    <w:rsid w:val="00026D52"/>
    <w:rsid w:val="000318AA"/>
    <w:rsid w:val="00034E27"/>
    <w:rsid w:val="00034FF6"/>
    <w:rsid w:val="00044BFF"/>
    <w:rsid w:val="000470C2"/>
    <w:rsid w:val="0005474A"/>
    <w:rsid w:val="00061725"/>
    <w:rsid w:val="000633AA"/>
    <w:rsid w:val="00066A9A"/>
    <w:rsid w:val="000737ED"/>
    <w:rsid w:val="00095B95"/>
    <w:rsid w:val="000A2E96"/>
    <w:rsid w:val="000A3711"/>
    <w:rsid w:val="000D096A"/>
    <w:rsid w:val="000D5066"/>
    <w:rsid w:val="000E6ACE"/>
    <w:rsid w:val="000F06ED"/>
    <w:rsid w:val="000F27F1"/>
    <w:rsid w:val="000F6191"/>
    <w:rsid w:val="00113F5F"/>
    <w:rsid w:val="001279EA"/>
    <w:rsid w:val="00130CE8"/>
    <w:rsid w:val="0013364F"/>
    <w:rsid w:val="00140660"/>
    <w:rsid w:val="0014449D"/>
    <w:rsid w:val="00150E2C"/>
    <w:rsid w:val="00152201"/>
    <w:rsid w:val="00171891"/>
    <w:rsid w:val="00172A27"/>
    <w:rsid w:val="00173478"/>
    <w:rsid w:val="001735BA"/>
    <w:rsid w:val="00176636"/>
    <w:rsid w:val="00183C84"/>
    <w:rsid w:val="001B497D"/>
    <w:rsid w:val="001C05F9"/>
    <w:rsid w:val="001C212D"/>
    <w:rsid w:val="001C5395"/>
    <w:rsid w:val="001E0240"/>
    <w:rsid w:val="001E2EEA"/>
    <w:rsid w:val="001E5905"/>
    <w:rsid w:val="001E5DF7"/>
    <w:rsid w:val="001E7120"/>
    <w:rsid w:val="002038D7"/>
    <w:rsid w:val="00211F26"/>
    <w:rsid w:val="00220B2B"/>
    <w:rsid w:val="00224D9D"/>
    <w:rsid w:val="00225D2E"/>
    <w:rsid w:val="002263FC"/>
    <w:rsid w:val="002354F6"/>
    <w:rsid w:val="002448E3"/>
    <w:rsid w:val="00247A0A"/>
    <w:rsid w:val="00266437"/>
    <w:rsid w:val="002737A8"/>
    <w:rsid w:val="00290B55"/>
    <w:rsid w:val="00295E85"/>
    <w:rsid w:val="002A3AE9"/>
    <w:rsid w:val="002B7F5A"/>
    <w:rsid w:val="002C196E"/>
    <w:rsid w:val="002D2DB0"/>
    <w:rsid w:val="002D75D0"/>
    <w:rsid w:val="002E1DB7"/>
    <w:rsid w:val="002E7131"/>
    <w:rsid w:val="002E795C"/>
    <w:rsid w:val="002F60A1"/>
    <w:rsid w:val="00302167"/>
    <w:rsid w:val="00305714"/>
    <w:rsid w:val="00313E71"/>
    <w:rsid w:val="00321CB7"/>
    <w:rsid w:val="003379A9"/>
    <w:rsid w:val="00341B28"/>
    <w:rsid w:val="00342DC1"/>
    <w:rsid w:val="00350ADF"/>
    <w:rsid w:val="003543F3"/>
    <w:rsid w:val="00355623"/>
    <w:rsid w:val="00387F9B"/>
    <w:rsid w:val="003A0419"/>
    <w:rsid w:val="003B117F"/>
    <w:rsid w:val="003B4AB4"/>
    <w:rsid w:val="003B750C"/>
    <w:rsid w:val="003C4D3B"/>
    <w:rsid w:val="003C565F"/>
    <w:rsid w:val="003D30C4"/>
    <w:rsid w:val="003E09EA"/>
    <w:rsid w:val="003E412C"/>
    <w:rsid w:val="003F0AC3"/>
    <w:rsid w:val="0040507F"/>
    <w:rsid w:val="00433022"/>
    <w:rsid w:val="00455600"/>
    <w:rsid w:val="00456251"/>
    <w:rsid w:val="004660E6"/>
    <w:rsid w:val="00474630"/>
    <w:rsid w:val="00486936"/>
    <w:rsid w:val="004A0363"/>
    <w:rsid w:val="004B5DED"/>
    <w:rsid w:val="004C1607"/>
    <w:rsid w:val="004D1326"/>
    <w:rsid w:val="004D1578"/>
    <w:rsid w:val="004E621E"/>
    <w:rsid w:val="004F2359"/>
    <w:rsid w:val="004F313C"/>
    <w:rsid w:val="0050244A"/>
    <w:rsid w:val="005069D8"/>
    <w:rsid w:val="0051077F"/>
    <w:rsid w:val="00522179"/>
    <w:rsid w:val="00522858"/>
    <w:rsid w:val="0056162E"/>
    <w:rsid w:val="00563B93"/>
    <w:rsid w:val="00565BF6"/>
    <w:rsid w:val="00567DB3"/>
    <w:rsid w:val="00587C3C"/>
    <w:rsid w:val="00594CF2"/>
    <w:rsid w:val="005B272E"/>
    <w:rsid w:val="005B3434"/>
    <w:rsid w:val="005B7384"/>
    <w:rsid w:val="005D5ED6"/>
    <w:rsid w:val="005D7503"/>
    <w:rsid w:val="005E0686"/>
    <w:rsid w:val="005E2884"/>
    <w:rsid w:val="005E40C5"/>
    <w:rsid w:val="005E5050"/>
    <w:rsid w:val="005F0633"/>
    <w:rsid w:val="005F0C5B"/>
    <w:rsid w:val="005F2C7B"/>
    <w:rsid w:val="005F4D04"/>
    <w:rsid w:val="005F7DA9"/>
    <w:rsid w:val="006054F8"/>
    <w:rsid w:val="006107E3"/>
    <w:rsid w:val="00617E25"/>
    <w:rsid w:val="00641FC1"/>
    <w:rsid w:val="006529A7"/>
    <w:rsid w:val="0065419A"/>
    <w:rsid w:val="00654220"/>
    <w:rsid w:val="0065529B"/>
    <w:rsid w:val="006624C2"/>
    <w:rsid w:val="00663B94"/>
    <w:rsid w:val="00676076"/>
    <w:rsid w:val="00677AB7"/>
    <w:rsid w:val="00677F66"/>
    <w:rsid w:val="006C1014"/>
    <w:rsid w:val="006D5D22"/>
    <w:rsid w:val="006E3BA0"/>
    <w:rsid w:val="006E4E94"/>
    <w:rsid w:val="006E70D5"/>
    <w:rsid w:val="006F69B2"/>
    <w:rsid w:val="007017D8"/>
    <w:rsid w:val="007110ED"/>
    <w:rsid w:val="00730BEE"/>
    <w:rsid w:val="0073101E"/>
    <w:rsid w:val="00733378"/>
    <w:rsid w:val="00735153"/>
    <w:rsid w:val="00735E29"/>
    <w:rsid w:val="00745421"/>
    <w:rsid w:val="00745F96"/>
    <w:rsid w:val="0074729D"/>
    <w:rsid w:val="00782F29"/>
    <w:rsid w:val="00790CB3"/>
    <w:rsid w:val="00796214"/>
    <w:rsid w:val="00797543"/>
    <w:rsid w:val="007A4219"/>
    <w:rsid w:val="007B08DF"/>
    <w:rsid w:val="007C3B15"/>
    <w:rsid w:val="007C4F56"/>
    <w:rsid w:val="007E0B6E"/>
    <w:rsid w:val="007E4637"/>
    <w:rsid w:val="00800690"/>
    <w:rsid w:val="0080200C"/>
    <w:rsid w:val="00802D0C"/>
    <w:rsid w:val="00810B7D"/>
    <w:rsid w:val="00814110"/>
    <w:rsid w:val="00822116"/>
    <w:rsid w:val="0082561A"/>
    <w:rsid w:val="00846B2E"/>
    <w:rsid w:val="0085663C"/>
    <w:rsid w:val="00870717"/>
    <w:rsid w:val="008768AB"/>
    <w:rsid w:val="008870FD"/>
    <w:rsid w:val="008904CC"/>
    <w:rsid w:val="008926F7"/>
    <w:rsid w:val="00895C9A"/>
    <w:rsid w:val="008A7510"/>
    <w:rsid w:val="008B2B66"/>
    <w:rsid w:val="008C18AE"/>
    <w:rsid w:val="008C3CBF"/>
    <w:rsid w:val="008C670A"/>
    <w:rsid w:val="008C78BD"/>
    <w:rsid w:val="008D0EE1"/>
    <w:rsid w:val="008F099C"/>
    <w:rsid w:val="008F0FA3"/>
    <w:rsid w:val="00900D90"/>
    <w:rsid w:val="0090315A"/>
    <w:rsid w:val="00907C39"/>
    <w:rsid w:val="00914E15"/>
    <w:rsid w:val="009354D6"/>
    <w:rsid w:val="00956754"/>
    <w:rsid w:val="009679B0"/>
    <w:rsid w:val="00970A98"/>
    <w:rsid w:val="00977E89"/>
    <w:rsid w:val="00991B0F"/>
    <w:rsid w:val="009A00E4"/>
    <w:rsid w:val="009A4E79"/>
    <w:rsid w:val="009B1695"/>
    <w:rsid w:val="009B1B47"/>
    <w:rsid w:val="009B2EEF"/>
    <w:rsid w:val="009B50F2"/>
    <w:rsid w:val="009C24C2"/>
    <w:rsid w:val="009C6A99"/>
    <w:rsid w:val="009C781F"/>
    <w:rsid w:val="009D5296"/>
    <w:rsid w:val="009D6978"/>
    <w:rsid w:val="009E6170"/>
    <w:rsid w:val="009F1FD4"/>
    <w:rsid w:val="009F4338"/>
    <w:rsid w:val="00A061C5"/>
    <w:rsid w:val="00A204A0"/>
    <w:rsid w:val="00A30A44"/>
    <w:rsid w:val="00A4484F"/>
    <w:rsid w:val="00A644D2"/>
    <w:rsid w:val="00A66D8E"/>
    <w:rsid w:val="00A7328D"/>
    <w:rsid w:val="00A76D4B"/>
    <w:rsid w:val="00A77C47"/>
    <w:rsid w:val="00A8398D"/>
    <w:rsid w:val="00A9119C"/>
    <w:rsid w:val="00A94A56"/>
    <w:rsid w:val="00AA36EB"/>
    <w:rsid w:val="00AA4549"/>
    <w:rsid w:val="00AA5B04"/>
    <w:rsid w:val="00AA6CFF"/>
    <w:rsid w:val="00AB40C1"/>
    <w:rsid w:val="00AC3D79"/>
    <w:rsid w:val="00AC5144"/>
    <w:rsid w:val="00AD3853"/>
    <w:rsid w:val="00AF666C"/>
    <w:rsid w:val="00B13014"/>
    <w:rsid w:val="00B17559"/>
    <w:rsid w:val="00B176FA"/>
    <w:rsid w:val="00B23E1D"/>
    <w:rsid w:val="00B33978"/>
    <w:rsid w:val="00B33B19"/>
    <w:rsid w:val="00B3722F"/>
    <w:rsid w:val="00B404E6"/>
    <w:rsid w:val="00B41C54"/>
    <w:rsid w:val="00B4360D"/>
    <w:rsid w:val="00B534AE"/>
    <w:rsid w:val="00B61EA9"/>
    <w:rsid w:val="00B670D1"/>
    <w:rsid w:val="00B74DCA"/>
    <w:rsid w:val="00B94CD4"/>
    <w:rsid w:val="00B964AE"/>
    <w:rsid w:val="00BA2C7F"/>
    <w:rsid w:val="00BA5103"/>
    <w:rsid w:val="00BA632A"/>
    <w:rsid w:val="00BC3903"/>
    <w:rsid w:val="00BD7DB5"/>
    <w:rsid w:val="00BE106D"/>
    <w:rsid w:val="00BE47E0"/>
    <w:rsid w:val="00BF3D9D"/>
    <w:rsid w:val="00BF75C8"/>
    <w:rsid w:val="00C00058"/>
    <w:rsid w:val="00C02F0B"/>
    <w:rsid w:val="00C11797"/>
    <w:rsid w:val="00C1762E"/>
    <w:rsid w:val="00C20F36"/>
    <w:rsid w:val="00C20F84"/>
    <w:rsid w:val="00C25123"/>
    <w:rsid w:val="00C2582A"/>
    <w:rsid w:val="00C30A48"/>
    <w:rsid w:val="00C375A7"/>
    <w:rsid w:val="00C44DD0"/>
    <w:rsid w:val="00C44DFE"/>
    <w:rsid w:val="00C62DF8"/>
    <w:rsid w:val="00C640FB"/>
    <w:rsid w:val="00C86023"/>
    <w:rsid w:val="00C94EBA"/>
    <w:rsid w:val="00C973B4"/>
    <w:rsid w:val="00CA2770"/>
    <w:rsid w:val="00CB054E"/>
    <w:rsid w:val="00CC52D7"/>
    <w:rsid w:val="00CD4ADA"/>
    <w:rsid w:val="00CE4DED"/>
    <w:rsid w:val="00D20F53"/>
    <w:rsid w:val="00D23611"/>
    <w:rsid w:val="00D23AB6"/>
    <w:rsid w:val="00D50309"/>
    <w:rsid w:val="00D51AA9"/>
    <w:rsid w:val="00D7264A"/>
    <w:rsid w:val="00D84E43"/>
    <w:rsid w:val="00D870DF"/>
    <w:rsid w:val="00DA139A"/>
    <w:rsid w:val="00DA2489"/>
    <w:rsid w:val="00DA30A0"/>
    <w:rsid w:val="00DB0C2F"/>
    <w:rsid w:val="00DB3BF6"/>
    <w:rsid w:val="00DB56A2"/>
    <w:rsid w:val="00DC31CC"/>
    <w:rsid w:val="00DC5A6B"/>
    <w:rsid w:val="00DC728A"/>
    <w:rsid w:val="00DD2F3C"/>
    <w:rsid w:val="00DD4A55"/>
    <w:rsid w:val="00DD65B5"/>
    <w:rsid w:val="00DD782E"/>
    <w:rsid w:val="00DF6907"/>
    <w:rsid w:val="00E1059D"/>
    <w:rsid w:val="00E126A1"/>
    <w:rsid w:val="00E155DF"/>
    <w:rsid w:val="00E174FA"/>
    <w:rsid w:val="00E246E1"/>
    <w:rsid w:val="00E314CE"/>
    <w:rsid w:val="00E514EB"/>
    <w:rsid w:val="00E52823"/>
    <w:rsid w:val="00E52B10"/>
    <w:rsid w:val="00E600D0"/>
    <w:rsid w:val="00E63E73"/>
    <w:rsid w:val="00E7192D"/>
    <w:rsid w:val="00E81033"/>
    <w:rsid w:val="00E944FA"/>
    <w:rsid w:val="00E9797A"/>
    <w:rsid w:val="00EB0DB4"/>
    <w:rsid w:val="00EB44BE"/>
    <w:rsid w:val="00EC5C4D"/>
    <w:rsid w:val="00ED1047"/>
    <w:rsid w:val="00EE0436"/>
    <w:rsid w:val="00EF04A5"/>
    <w:rsid w:val="00F14AF9"/>
    <w:rsid w:val="00F258C8"/>
    <w:rsid w:val="00F30035"/>
    <w:rsid w:val="00F41324"/>
    <w:rsid w:val="00F47D39"/>
    <w:rsid w:val="00F47E18"/>
    <w:rsid w:val="00F57C12"/>
    <w:rsid w:val="00F609FD"/>
    <w:rsid w:val="00F64BD9"/>
    <w:rsid w:val="00F65ACC"/>
    <w:rsid w:val="00F7052D"/>
    <w:rsid w:val="00F771E3"/>
    <w:rsid w:val="00F8162C"/>
    <w:rsid w:val="00F836F7"/>
    <w:rsid w:val="00F859AB"/>
    <w:rsid w:val="00F950D0"/>
    <w:rsid w:val="00FA0110"/>
    <w:rsid w:val="00FA2C26"/>
    <w:rsid w:val="00FA4F66"/>
    <w:rsid w:val="00FC027F"/>
    <w:rsid w:val="00FD1F12"/>
    <w:rsid w:val="00FD412B"/>
    <w:rsid w:val="00FF26C8"/>
    <w:rsid w:val="016D581F"/>
    <w:rsid w:val="030F2BA7"/>
    <w:rsid w:val="04240CEE"/>
    <w:rsid w:val="065551D3"/>
    <w:rsid w:val="06C37561"/>
    <w:rsid w:val="0A236A5A"/>
    <w:rsid w:val="10992483"/>
    <w:rsid w:val="111D4539"/>
    <w:rsid w:val="13297F9C"/>
    <w:rsid w:val="134727C6"/>
    <w:rsid w:val="141A5102"/>
    <w:rsid w:val="15FE575C"/>
    <w:rsid w:val="1ADC05C7"/>
    <w:rsid w:val="1E911FB2"/>
    <w:rsid w:val="20F325AF"/>
    <w:rsid w:val="216F6F5C"/>
    <w:rsid w:val="22D04645"/>
    <w:rsid w:val="22E23E75"/>
    <w:rsid w:val="2555668E"/>
    <w:rsid w:val="25AF3A81"/>
    <w:rsid w:val="26FD4196"/>
    <w:rsid w:val="28CD1EA7"/>
    <w:rsid w:val="29F7636C"/>
    <w:rsid w:val="2A2232BA"/>
    <w:rsid w:val="32955A2A"/>
    <w:rsid w:val="32AE1BB2"/>
    <w:rsid w:val="36341C31"/>
    <w:rsid w:val="368076E6"/>
    <w:rsid w:val="378F5AE0"/>
    <w:rsid w:val="37F709A6"/>
    <w:rsid w:val="39E872E9"/>
    <w:rsid w:val="3ABE1FB8"/>
    <w:rsid w:val="3B4429A4"/>
    <w:rsid w:val="3C753CC7"/>
    <w:rsid w:val="3F2C3B54"/>
    <w:rsid w:val="40990310"/>
    <w:rsid w:val="459870AF"/>
    <w:rsid w:val="45ED49CE"/>
    <w:rsid w:val="46F0109E"/>
    <w:rsid w:val="47475A63"/>
    <w:rsid w:val="4E276A76"/>
    <w:rsid w:val="509017BA"/>
    <w:rsid w:val="51482FC3"/>
    <w:rsid w:val="52830253"/>
    <w:rsid w:val="541C469D"/>
    <w:rsid w:val="5BAD62F8"/>
    <w:rsid w:val="5BE61B5E"/>
    <w:rsid w:val="602D020F"/>
    <w:rsid w:val="64C67B5C"/>
    <w:rsid w:val="66F47EBC"/>
    <w:rsid w:val="681903E9"/>
    <w:rsid w:val="68823415"/>
    <w:rsid w:val="6898111C"/>
    <w:rsid w:val="6A485270"/>
    <w:rsid w:val="6D05415D"/>
    <w:rsid w:val="6F66394D"/>
    <w:rsid w:val="73193673"/>
    <w:rsid w:val="74543F24"/>
    <w:rsid w:val="74BE328D"/>
    <w:rsid w:val="780E0FCF"/>
    <w:rsid w:val="7E724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6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474630"/>
    <w:rPr>
      <w:b/>
      <w:bCs/>
    </w:rPr>
  </w:style>
  <w:style w:type="paragraph" w:styleId="a4">
    <w:name w:val="annotation text"/>
    <w:basedOn w:val="a"/>
    <w:link w:val="Char0"/>
    <w:uiPriority w:val="99"/>
    <w:unhideWhenUsed/>
    <w:qFormat/>
    <w:rsid w:val="00474630"/>
    <w:pPr>
      <w:jc w:val="left"/>
    </w:pPr>
  </w:style>
  <w:style w:type="paragraph" w:styleId="a5">
    <w:name w:val="Balloon Text"/>
    <w:basedOn w:val="a"/>
    <w:link w:val="Char1"/>
    <w:uiPriority w:val="99"/>
    <w:unhideWhenUsed/>
    <w:qFormat/>
    <w:rsid w:val="00474630"/>
    <w:rPr>
      <w:sz w:val="18"/>
      <w:szCs w:val="18"/>
    </w:rPr>
  </w:style>
  <w:style w:type="paragraph" w:styleId="a6">
    <w:name w:val="footer"/>
    <w:basedOn w:val="a"/>
    <w:link w:val="Char2"/>
    <w:uiPriority w:val="99"/>
    <w:unhideWhenUsed/>
    <w:qFormat/>
    <w:rsid w:val="0047463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474630"/>
    <w:pPr>
      <w:pBdr>
        <w:bottom w:val="single" w:sz="6" w:space="1" w:color="auto"/>
      </w:pBdr>
      <w:tabs>
        <w:tab w:val="center" w:pos="4153"/>
        <w:tab w:val="right" w:pos="8306"/>
      </w:tabs>
      <w:snapToGrid w:val="0"/>
      <w:jc w:val="center"/>
    </w:pPr>
    <w:rPr>
      <w:sz w:val="18"/>
      <w:szCs w:val="18"/>
    </w:rPr>
  </w:style>
  <w:style w:type="paragraph" w:styleId="a8">
    <w:name w:val="footnote text"/>
    <w:basedOn w:val="a"/>
    <w:uiPriority w:val="99"/>
    <w:unhideWhenUsed/>
    <w:qFormat/>
    <w:rsid w:val="00474630"/>
    <w:pPr>
      <w:snapToGrid w:val="0"/>
      <w:jc w:val="left"/>
    </w:pPr>
    <w:rPr>
      <w:sz w:val="18"/>
    </w:rPr>
  </w:style>
  <w:style w:type="paragraph" w:styleId="a9">
    <w:name w:val="Normal (Web)"/>
    <w:basedOn w:val="a"/>
    <w:qFormat/>
    <w:rsid w:val="00474630"/>
    <w:pPr>
      <w:widowControl/>
      <w:spacing w:before="100" w:beforeAutospacing="1" w:after="100" w:afterAutospacing="1"/>
      <w:jc w:val="left"/>
    </w:pPr>
    <w:rPr>
      <w:rFonts w:ascii="宋体" w:hAnsi="宋体"/>
      <w:kern w:val="0"/>
      <w:sz w:val="24"/>
      <w:szCs w:val="24"/>
    </w:rPr>
  </w:style>
  <w:style w:type="character" w:styleId="aa">
    <w:name w:val="page number"/>
    <w:basedOn w:val="a0"/>
    <w:uiPriority w:val="99"/>
    <w:unhideWhenUsed/>
    <w:qFormat/>
    <w:rsid w:val="00474630"/>
  </w:style>
  <w:style w:type="character" w:styleId="ab">
    <w:name w:val="annotation reference"/>
    <w:uiPriority w:val="99"/>
    <w:unhideWhenUsed/>
    <w:qFormat/>
    <w:rsid w:val="00474630"/>
    <w:rPr>
      <w:sz w:val="21"/>
      <w:szCs w:val="21"/>
    </w:rPr>
  </w:style>
  <w:style w:type="character" w:styleId="ac">
    <w:name w:val="footnote reference"/>
    <w:uiPriority w:val="99"/>
    <w:unhideWhenUsed/>
    <w:qFormat/>
    <w:rsid w:val="00474630"/>
    <w:rPr>
      <w:vertAlign w:val="superscript"/>
    </w:rPr>
  </w:style>
  <w:style w:type="character" w:customStyle="1" w:styleId="Char1">
    <w:name w:val="批注框文本 Char"/>
    <w:link w:val="a5"/>
    <w:uiPriority w:val="99"/>
    <w:semiHidden/>
    <w:qFormat/>
    <w:rsid w:val="00474630"/>
    <w:rPr>
      <w:kern w:val="2"/>
      <w:sz w:val="18"/>
      <w:szCs w:val="18"/>
    </w:rPr>
  </w:style>
  <w:style w:type="character" w:customStyle="1" w:styleId="Char3">
    <w:name w:val="页眉 Char"/>
    <w:link w:val="a7"/>
    <w:uiPriority w:val="99"/>
    <w:semiHidden/>
    <w:qFormat/>
    <w:locked/>
    <w:rsid w:val="00474630"/>
    <w:rPr>
      <w:rFonts w:ascii="Times New Roman" w:hAnsi="Times New Roman" w:cs="Times New Roman" w:hint="default"/>
      <w:sz w:val="18"/>
      <w:szCs w:val="18"/>
    </w:rPr>
  </w:style>
  <w:style w:type="character" w:customStyle="1" w:styleId="Char">
    <w:name w:val="批注主题 Char"/>
    <w:link w:val="a3"/>
    <w:uiPriority w:val="99"/>
    <w:semiHidden/>
    <w:qFormat/>
    <w:rsid w:val="00474630"/>
    <w:rPr>
      <w:b/>
      <w:bCs/>
      <w:kern w:val="2"/>
      <w:sz w:val="21"/>
      <w:szCs w:val="22"/>
    </w:rPr>
  </w:style>
  <w:style w:type="character" w:customStyle="1" w:styleId="Char2">
    <w:name w:val="页脚 Char"/>
    <w:link w:val="a6"/>
    <w:uiPriority w:val="99"/>
    <w:semiHidden/>
    <w:qFormat/>
    <w:locked/>
    <w:rsid w:val="00474630"/>
    <w:rPr>
      <w:rFonts w:ascii="Times New Roman" w:hAnsi="Times New Roman" w:cs="Times New Roman" w:hint="default"/>
      <w:sz w:val="18"/>
      <w:szCs w:val="18"/>
    </w:rPr>
  </w:style>
  <w:style w:type="character" w:customStyle="1" w:styleId="Char0">
    <w:name w:val="批注文字 Char"/>
    <w:link w:val="a4"/>
    <w:uiPriority w:val="99"/>
    <w:qFormat/>
    <w:rsid w:val="00474630"/>
    <w:rPr>
      <w:kern w:val="2"/>
      <w:sz w:val="21"/>
      <w:szCs w:val="22"/>
    </w:rPr>
  </w:style>
  <w:style w:type="paragraph" w:customStyle="1" w:styleId="zhongyaotishi">
    <w:name w:val="zhongyaotishi"/>
    <w:basedOn w:val="a"/>
    <w:qFormat/>
    <w:rsid w:val="00474630"/>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zhangjiep">
    <w:name w:val="zhangjie_p"/>
    <w:basedOn w:val="a"/>
    <w:qFormat/>
    <w:rsid w:val="0047463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right1">
    <w:name w:val="biaoge_right1"/>
    <w:basedOn w:val="a"/>
    <w:qFormat/>
    <w:rsid w:val="0047463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right">
    <w:name w:val="biaoge_right"/>
    <w:basedOn w:val="a"/>
    <w:qFormat/>
    <w:rsid w:val="0047463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
    <w:name w:val="biaoge_center"/>
    <w:basedOn w:val="a"/>
    <w:qFormat/>
    <w:rsid w:val="0047463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msonormalfy">
    <w:name w:val="msonormalfy"/>
    <w:qFormat/>
    <w:rsid w:val="00474630"/>
    <w:pPr>
      <w:widowControl w:val="0"/>
      <w:jc w:val="center"/>
    </w:pPr>
    <w:rPr>
      <w:kern w:val="2"/>
      <w:sz w:val="33"/>
      <w:szCs w:val="22"/>
    </w:rPr>
  </w:style>
  <w:style w:type="paragraph" w:customStyle="1" w:styleId="biaogeleft">
    <w:name w:val="biaoge_left"/>
    <w:basedOn w:val="a"/>
    <w:qFormat/>
    <w:rsid w:val="0047463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dazhangjie">
    <w:name w:val="dazhangjie"/>
    <w:basedOn w:val="a"/>
    <w:qFormat/>
    <w:rsid w:val="0047463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zhangjiep2">
    <w:name w:val="zhangjie_p2"/>
    <w:basedOn w:val="a"/>
    <w:qFormat/>
    <w:rsid w:val="0047463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hide">
    <w:name w:val="hide"/>
    <w:basedOn w:val="a"/>
    <w:qFormat/>
    <w:rsid w:val="00474630"/>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qFormat/>
    <w:rsid w:val="00474630"/>
    <w:pPr>
      <w:widowControl/>
      <w:spacing w:before="100" w:beforeAutospacing="1" w:after="100" w:afterAutospacing="1"/>
      <w:jc w:val="left"/>
    </w:pPr>
    <w:rPr>
      <w:rFonts w:ascii="宋体" w:hAnsi="宋体" w:cs="宋体"/>
      <w:kern w:val="0"/>
      <w:sz w:val="24"/>
      <w:szCs w:val="24"/>
    </w:rPr>
  </w:style>
  <w:style w:type="paragraph" w:customStyle="1" w:styleId="msonormalnone">
    <w:name w:val="msonormal_none"/>
    <w:qFormat/>
    <w:rsid w:val="00474630"/>
    <w:pPr>
      <w:widowControl w:val="0"/>
    </w:pPr>
    <w:rPr>
      <w:kern w:val="2"/>
      <w:sz w:val="21"/>
      <w:szCs w:val="22"/>
    </w:rPr>
  </w:style>
  <w:style w:type="paragraph" w:customStyle="1" w:styleId="neirong">
    <w:name w:val="neirong"/>
    <w:basedOn w:val="a"/>
    <w:qFormat/>
    <w:rsid w:val="0047463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
    <w:name w:val="正文1"/>
    <w:qFormat/>
    <w:rsid w:val="00474630"/>
    <w:pPr>
      <w:jc w:val="both"/>
    </w:pPr>
    <w:rPr>
      <w:kern w:val="2"/>
      <w:sz w:val="21"/>
      <w:szCs w:val="21"/>
    </w:rPr>
  </w:style>
  <w:style w:type="paragraph" w:customStyle="1" w:styleId="Default">
    <w:name w:val="Default"/>
    <w:qFormat/>
    <w:rsid w:val="00474630"/>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351</Words>
  <Characters>2006</Characters>
  <Application>Microsoft Office Word</Application>
  <DocSecurity>0</DocSecurity>
  <Lines>16</Lines>
  <Paragraphs>4</Paragraphs>
  <ScaleCrop>false</ScaleCrop>
  <Company>微软中国</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2022-08-03T07:49:00Z</dcterms:created>
  <dc:creator>总行金融市场部本币投资交易部梅浩超</dc:creator>
  <cp:lastModifiedBy>yytx</cp:lastModifiedBy>
  <cp:lastPrinted>2019-09-11T00:56:00Z</cp:lastPrinted>
  <dcterms:modified xsi:type="dcterms:W3CDTF">2025-08-21T07:50:00Z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