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E63E73" w:rsidP="000D096A">
      <w:pPr>
        <w:spacing w:before="240" w:afterLines="30" w:line="360" w:lineRule="auto"/>
        <w:jc w:val="center"/>
        <w:rPr>
          <w:rFonts w:ascii="方正黑体简体" w:eastAsia="方正黑体简体"/>
          <w:sz w:val="36"/>
        </w:rPr>
      </w:pPr>
      <w:r>
        <w:rPr>
          <w:rFonts w:ascii="方正黑体简体" w:eastAsia="方正黑体简体"/>
          <w:sz w:val="36"/>
        </w:rPr>
        <w:t>南银理财鼎瑞悦稳（最低持有21天）2号公募人民币理财产品</w:t>
      </w:r>
    </w:p>
    <w:p w:rsidR="00474630" w:rsidRDefault="00E63E73" w:rsidP="000D096A">
      <w:pPr>
        <w:spacing w:before="240" w:afterLines="30" w:line="360" w:lineRule="auto"/>
        <w:jc w:val="center"/>
        <w:rPr>
          <w:rFonts w:ascii="方正黑体简体" w:eastAsia="方正黑体简体" w:hAnsi="黑体"/>
          <w:sz w:val="36"/>
        </w:rPr>
      </w:pPr>
      <w:r>
        <w:rPr>
          <w:rFonts w:ascii="方正黑体简体" w:eastAsia="方正黑体简体" w:hAnsi="黑体"/>
          <w:sz w:val="36"/>
        </w:rPr>
        <w:t>2025年半</w:t>
      </w:r>
      <w:r>
        <w:rPr>
          <w:rFonts w:ascii="方正黑体简体" w:eastAsia="方正黑体简体" w:hAnsi="Calibri" w:hint="eastAsia"/>
          <w:sz w:val="36"/>
        </w:rPr>
        <w:t>年度</w:t>
      </w:r>
      <w:r>
        <w:rPr>
          <w:rFonts w:ascii="方正黑体简体" w:eastAsia="方正黑体简体" w:hAnsi="黑体"/>
          <w:sz w:val="36"/>
        </w:rPr>
        <w:t>报告</w:t>
      </w: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产品管理人:</w:t>
      </w:r>
      <w:r>
        <w:rPr>
          <w:rFonts w:ascii="方正仿宋简体" w:eastAsia="方正仿宋简体"/>
          <w:b/>
          <w:sz w:val="24"/>
          <w:szCs w:val="24"/>
        </w:rPr>
        <w:t>南银理财有限责任公司</w:t>
      </w: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产品托管人:</w:t>
      </w:r>
      <w:r>
        <w:rPr>
          <w:rFonts w:ascii="方正仿宋简体" w:eastAsia="方正仿宋简体"/>
          <w:b/>
          <w:sz w:val="24"/>
          <w:szCs w:val="24"/>
        </w:rPr>
        <w:t>南京银行股份有限公司</w:t>
      </w:r>
    </w:p>
    <w:p w:rsidR="00474630" w:rsidRDefault="00474630" w:rsidP="000D096A">
      <w:pPr>
        <w:spacing w:before="240" w:afterLines="30" w:line="360" w:lineRule="auto"/>
        <w:jc w:val="center"/>
        <w:rPr>
          <w:rFonts w:ascii="方正黑体简体" w:eastAsia="方正黑体简体"/>
          <w:sz w:val="36"/>
        </w:rPr>
      </w:pPr>
    </w:p>
    <w:p w:rsidR="00474630" w:rsidRDefault="00E63E73">
      <w:pPr>
        <w:widowControl/>
        <w:jc w:val="left"/>
        <w:rPr>
          <w:rFonts w:ascii="方正黑体简体" w:eastAsia="方正黑体简体"/>
          <w:sz w:val="36"/>
        </w:rPr>
      </w:pPr>
      <w:r>
        <w:rPr>
          <w:rFonts w:ascii="方正黑体简体" w:eastAsia="方正黑体简体"/>
          <w:sz w:val="36"/>
        </w:rPr>
        <w:br w:type="page"/>
      </w:r>
    </w:p>
    <w:p w:rsidR="00474630" w:rsidRDefault="00E63E73" w:rsidP="000D096A">
      <w:pPr>
        <w:widowControl/>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lastRenderedPageBreak/>
        <w:t>§1 产品概况</w:t>
      </w:r>
    </w:p>
    <w:tbl>
      <w:tblPr>
        <w:tblW w:w="88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2894"/>
        <w:gridCol w:w="5924"/>
      </w:tblGrid>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产品全称</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南银理财鼎瑞悦稳（最低持有21天）2号公募人民币理财产品</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产品登记编码</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Z7003224000207（投资者可依据该编码在中国理财网www.chinawealth.com.cn查询理财产品相关信息）</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产品运作方式</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开放式净值型</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产品成立日</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2024年10月16日</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报告期末产品份额总额</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124,156,396.76份</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报告期末产品杠杆水平</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sz w:val="24"/>
                <w:szCs w:val="24"/>
              </w:rPr>
              <w:t>100.01%</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合作机构</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国投泰康信托有限公司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产品管理人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南银理财有限责任公司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产品托管人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南京银行股份有限公司</w:t>
            </w:r>
          </w:p>
        </w:tc>
      </w:tr>
    </w:tbl>
    <w:p w:rsidR="00474630" w:rsidRDefault="00474630" w:rsidP="000D096A">
      <w:pPr>
        <w:spacing w:before="240" w:afterLines="30" w:line="360" w:lineRule="auto"/>
        <w:rPr>
          <w:rFonts w:ascii="方正仿宋简体" w:eastAsia="方正仿宋简体" w:hAnsi="Calibri"/>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§2  主要财务指标</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2.1 主要财务指标</w:t>
      </w:r>
    </w:p>
    <w:p w:rsidR="00474630" w:rsidRDefault="00E63E73" w:rsidP="000D096A">
      <w:pPr>
        <w:spacing w:before="240" w:afterLines="30" w:line="360" w:lineRule="auto"/>
        <w:jc w:val="right"/>
        <w:rPr>
          <w:rFonts w:ascii="方正仿宋简体" w:eastAsia="方正仿宋简体" w:cs="宋体"/>
          <w:kern w:val="0"/>
          <w:sz w:val="24"/>
          <w:szCs w:val="24"/>
        </w:rPr>
      </w:pPr>
      <w:r>
        <w:rPr>
          <w:rFonts w:ascii="方正仿宋简体" w:eastAsia="方正仿宋简体" w:cs="宋体" w:hint="eastAsia"/>
          <w:kern w:val="0"/>
          <w:sz w:val="24"/>
          <w:szCs w:val="24"/>
        </w:rPr>
        <w:t>单位：人民币元</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1348"/>
        <w:gridCol w:w="2291"/>
        <w:gridCol w:w="1888"/>
        <w:gridCol w:w="1981"/>
        <w:gridCol w:w="1394"/>
      </w:tblGrid>
      <w:tr w:rsidR="00474630">
        <w:trPr>
          <w:trHeight w:val="744"/>
          <w:jc w:val="center"/>
        </w:trPr>
        <w:tc>
          <w:tcPr>
            <w:tcW w:w="1348" w:type="dxa"/>
            <w:vMerge w:val="restart"/>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内部销售代码</w:t>
            </w:r>
          </w:p>
        </w:tc>
        <w:tc>
          <w:tcPr>
            <w:tcW w:w="7554" w:type="dxa"/>
            <w:gridSpan w:val="4"/>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报告期（2025年01月01日 - 2025年06月30日）</w:t>
            </w:r>
          </w:p>
        </w:tc>
      </w:tr>
      <w:tr w:rsidR="00474630">
        <w:trPr>
          <w:trHeight w:val="1563"/>
          <w:jc w:val="center"/>
        </w:trPr>
        <w:tc>
          <w:tcPr>
            <w:tcW w:w="1348" w:type="dxa"/>
            <w:vMerge/>
            <w:vAlign w:val="center"/>
          </w:tcPr>
          <w:p w:rsidR="00474630" w:rsidRDefault="00474630" w:rsidP="000D096A">
            <w:pPr>
              <w:spacing w:beforeLines="20" w:afterLines="20"/>
              <w:jc w:val="center"/>
              <w:rPr>
                <w:rFonts w:ascii="方正仿宋简体" w:eastAsia="方正仿宋简体"/>
                <w:sz w:val="24"/>
                <w:szCs w:val="24"/>
                <w:shd w:val="clear" w:color="auto" w:fill="FFFFFF"/>
              </w:rPr>
            </w:pPr>
          </w:p>
        </w:tc>
        <w:tc>
          <w:tcPr>
            <w:tcW w:w="229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1.期末产品最后一个市场交易日资产净值</w:t>
            </w:r>
          </w:p>
        </w:tc>
        <w:tc>
          <w:tcPr>
            <w:tcW w:w="1888"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2.期末产品最后一个市场交易日份额净值</w:t>
            </w:r>
          </w:p>
        </w:tc>
        <w:tc>
          <w:tcPr>
            <w:tcW w:w="198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3.期末产品最后一个市场交易日份额累计净值</w:t>
            </w:r>
          </w:p>
        </w:tc>
        <w:tc>
          <w:tcPr>
            <w:tcW w:w="1394"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4.其它费用</w:t>
            </w: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A32062</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110,614,317.91</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1.006393</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1.006393</w:t>
            </w:r>
          </w:p>
        </w:tc>
        <w:tc>
          <w:tcPr>
            <w:tcW w:w="1394" w:type="dxa"/>
            <w:vMerge w:val="restart"/>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0.00</w:t>
            </w: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A32063</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512,895.53</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1.006365</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1.006365</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A32095</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13,822,931.98</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1.006394</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1.006394</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bl>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注：产品净值可能存在未扣除管理人及投资合作机构业绩报酬、赎回费等费用（如有）的情况，实际收益以兑付为准。</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§3  管理人报告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3.1 报告期内产品的投资策略和运作分析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二季度外部压力上升，推动宽货币政策落地，债市收益率整体下行。4月初美国“对等关税”超预期落地，引发市场风险偏好调整，宽货币预期随之升温并在5月落地，债券收益率快速下行，收益率曲线平坦化下移。此后利率低位震荡，市场情绪受关税谈判、政府债供给、银行负债端压力等多方因素中反复扰动，但在资金面宽松背景下基本保持平稳态势。截至6月30日，10年国债到期收益率由季初高点1.81%下行至1.65%。</w:t>
        <w:br w:type="textWrapping" w:clear="all"/>
      </w:r>
      <w:r>
        <w:rPr>
          <w:rFonts w:ascii="方正仿宋简体" w:eastAsia="方正仿宋简体" w:hint="eastAsia"/>
          <w:sz w:val="24"/>
          <w:szCs w:val="24"/>
        </w:rPr>
        <w:t>  展望后市，一方面当前抢出口脉冲效应对经济的支撑力度渐弱，内需呈现弱修复态势，物价持续低位运行，另一方面市场流动性充裕，资金价格平稳，债市总体处于偏顺风环境。后续关注中美关税谈判、重要会议预期、机构情绪波动等因素带来的市场变动，把握新的投资机会。</w:t>
        <w:br w:type="textWrapping" w:clear="all"/>
      </w:r>
      <w:r>
        <w:rPr>
          <w:rFonts w:ascii="方正仿宋简体" w:eastAsia="方正仿宋简体" w:hint="eastAsia"/>
          <w:sz w:val="24"/>
          <w:szCs w:val="24"/>
        </w:rPr>
        <w:t>  产品始终围绕稳健回报的收益目标进行操作，通过持有信用资质较好、绝对收益相对较高的江浙等发达省市信用债作为底仓，获取稳定可靠的票息收益；同时增加同业存单、存款等高流动性资产仓位保证流动性安全。基于对后市的判断，产品将灵活调整杠杆与久期，实现产品净值在合理区间内保持相对稳定；同时加强市场与品种研判，在控制好风险的前提下博取超额收益。</w:t>
      </w:r>
      <w:r>
        <w:rPr>
          <w:rFonts w:ascii="方正仿宋简体" w:eastAsia="方正仿宋简体" w:hint="eastAsia"/>
          <w:sz w:val="24"/>
          <w:szCs w:val="24"/>
        </w:rPr>
        <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3.2 报告期内产品的流动性风险分析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  本产品持仓中维持合理比例高流动性资产，杠杆处于合理水平，流动性状况较好。</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3.3 报告期内产品的业绩表现</w:t>
      </w:r>
    </w:p>
    <w:p w:rsidR="00474630" w:rsidRDefault="00E63E73" w:rsidP="000D096A">
      <w:pPr>
        <w:spacing w:before="240" w:afterLines="30" w:line="360" w:lineRule="auto"/>
        <w:ind w:firstLineChars="200" w:firstLine="480"/>
        <w:rPr>
          <w:rFonts w:ascii="方正仿宋简体" w:eastAsia="方正仿宋简体"/>
          <w:sz w:val="24"/>
          <w:szCs w:val="24"/>
        </w:rPr>
      </w:pPr>
      <w:r>
        <w:rPr>
          <w:rFonts w:ascii="方正仿宋简体" w:eastAsia="方正仿宋简体" w:hint="eastAsia"/>
          <w:sz w:val="24"/>
          <w:szCs w:val="24"/>
        </w:rPr>
        <w:t>截至报告期末，本产品A32062份额净值为1.006393元，A32063份额净值为1.006365元，A32095份额净值为1.006394元。</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t>§4  托管人报告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4.1报告期内托管人遵规守信情况声明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在托管本产品的过程中，本产品托管人南京银行股份有限公司严格遵守《商业银行理财子公司管理办法》相关法律法规的规定以及产品说明书的约定，对本产品管理人在报告期内产品的投资运作进行了认真、独立的会计核算和必要的投资监督，认真履行了托管人的义务，没有从事任何损害产品份额持有人利益的行为。</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4.2 托管人对报告期内投资运作遵规守信、净值计算、利润分配等情况的说明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托管人认为,管理人在本产品的投资运作、产品资产净值的计算、产品份额申购赎回价格的计算、产品费用开支及利润分配等问题上不存在损害产品份额持有人利益的行为；在报告期内，严格遵守了有关法律法规，在各重要方面的运作严格按照托管协议和理财产品说明书的规定进行。</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4.3 托管人对本</w:t>
      </w:r>
      <w:r w:rsidR="00DC5A6B">
        <w:rPr>
          <w:rFonts w:ascii="方正仿宋简体" w:eastAsia="方正仿宋简体" w:hint="eastAsia"/>
          <w:b/>
          <w:sz w:val="24"/>
          <w:szCs w:val="24"/>
        </w:rPr>
        <w:t>报告期内</w:t>
      </w:r>
      <w:r>
        <w:rPr>
          <w:rFonts w:ascii="方正仿宋简体" w:eastAsia="方正仿宋简体" w:hint="eastAsia"/>
          <w:b/>
          <w:sz w:val="24"/>
          <w:szCs w:val="24"/>
        </w:rPr>
        <w:t>报告中财务信息等内容的真实、准确和完整发表意见</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  本托管人认为，管理人的信息披露事务符合《商业银行理财子公司管理办法》及其他相关法律法规的规定，产品管理人所编制和披露的本产品报告中的财务指标、净值表现等信息真实、准确、完整，未发现有损害产品持有人利益的行为。</w:t>
      </w:r>
    </w:p>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§5  投资组合报告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5.1 报告期末产品资产组合情况</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45"/>
        <w:gridCol w:w="1861"/>
        <w:gridCol w:w="3004"/>
        <w:gridCol w:w="3292"/>
      </w:tblGrid>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资产类别</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穿透前占总资产比例</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穿透后占总资产比例</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固定收益类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97.01</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2</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权益类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2.99</w:t>
            </w:r>
            <w:r>
              <w:rPr>
                <w:rFonts w:ascii="方正仿宋简体" w:eastAsia="方正仿宋简体" w:hAnsiTheme="minorEastAsia"/>
                <w:sz w:val="24"/>
                <w:szCs w:val="24"/>
              </w:rPr>
              <w:t>%</w:t>
            </w:r>
          </w:p>
        </w:tc>
      </w:tr>
      <w:tr w:rsidR="00474630">
        <w:trPr>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3</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商品及金融衍生品类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4</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混合类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5</w:t>
            </w:r>
          </w:p>
        </w:tc>
        <w:tc>
          <w:tcPr>
            <w:tcW w:w="1861"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合计</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r>
    </w:tbl>
    <w:p w:rsidR="00474630" w:rsidRDefault="00474630" w:rsidP="000D096A">
      <w:pPr>
        <w:spacing w:before="240" w:afterLines="30" w:line="360" w:lineRule="auto"/>
        <w:rPr>
          <w:rFonts w:ascii="方正仿宋简体" w:eastAsia="方正仿宋简体"/>
          <w:b/>
          <w:sz w:val="24"/>
          <w:szCs w:val="24"/>
        </w:rPr>
      </w:pPr>
    </w:p>
    <w:p w:rsidR="00474630" w:rsidRDefault="00E63E73" w:rsidP="000D096A">
      <w:pPr>
        <w:spacing w:before="240" w:afterLines="30" w:line="360" w:lineRule="auto"/>
        <w:rPr>
          <w:rFonts w:ascii="方正仿宋简体" w:eastAsia="方正仿宋简体"/>
          <w:b/>
          <w:sz w:val="24"/>
          <w:szCs w:val="24"/>
          <w:shd w:val="clear" w:color="auto" w:fill="FFFFFF"/>
        </w:rPr>
      </w:pPr>
      <w:r>
        <w:rPr>
          <w:rFonts w:ascii="方正仿宋简体" w:eastAsia="方正仿宋简体" w:hint="eastAsia"/>
          <w:b/>
          <w:sz w:val="24"/>
          <w:szCs w:val="24"/>
        </w:rPr>
        <w:t>5.2 报告期末按公允价值占产品资产净值比例大小排序的前十名资产投资明细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4"/>
        <w:gridCol w:w="1633"/>
        <w:gridCol w:w="2721"/>
        <w:gridCol w:w="2059"/>
        <w:gridCol w:w="1785"/>
      </w:tblGrid>
      <w:tr w:rsidR="00474630">
        <w:trPr>
          <w:trHeight w:val="1322"/>
          <w:jc w:val="center"/>
        </w:trPr>
        <w:tc>
          <w:tcPr>
            <w:tcW w:w="704"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633"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代码</w:t>
            </w:r>
          </w:p>
        </w:tc>
        <w:tc>
          <w:tcPr>
            <w:tcW w:w="2721"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名称</w:t>
            </w:r>
          </w:p>
        </w:tc>
        <w:tc>
          <w:tcPr>
            <w:tcW w:w="2059"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公允价值（元）</w:t>
            </w:r>
          </w:p>
        </w:tc>
        <w:tc>
          <w:tcPr>
            <w:tcW w:w="1785"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占产品资产净值比例（％）</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ZJQTT202311080001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国投泰康信托福佳1号集合资金信托计划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95,106,432.52</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76.12</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XJCKX202504280001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华夏银行南京分行活期存款</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4,441,816.67</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3.55</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XJCKX202306070001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建设银行深圳分行活期存款</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4,049,038.89</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3.24</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XJCKX202312190022</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浦发银行南京分行活期存款</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76.89</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0.00</w:t>
            </w:r>
          </w:p>
        </w:tc>
      </w:tr>
    </w:tbl>
    <w:p w:rsidR="00474630" w:rsidRDefault="00474630" w:rsidP="000D096A">
      <w:pPr>
        <w:spacing w:before="240" w:afterLines="30" w:line="360" w:lineRule="auto"/>
        <w:rPr>
          <w:rFonts w:ascii="方正仿宋简体" w:eastAsia="方正仿宋简体" w:hAnsi="宋体" w:cs="宋体"/>
          <w:sz w:val="24"/>
          <w:szCs w:val="24"/>
          <w:shd w:val="clear" w:color="auto" w:fill="FFFFFF"/>
        </w:rPr>
      </w:pPr>
    </w:p>
    <w:p w:rsidR="00474630" w:rsidRDefault="00E63E73" w:rsidP="000D096A">
      <w:pPr>
        <w:spacing w:before="240" w:afterLines="30" w:line="360" w:lineRule="auto"/>
        <w:rPr>
          <w:rFonts w:ascii="方正仿宋简体" w:eastAsia="方正仿宋简体" w:hAnsi="宋体" w:cs="宋体"/>
          <w:b/>
          <w:sz w:val="24"/>
          <w:szCs w:val="24"/>
          <w:shd w:val="clear" w:color="auto" w:fill="FFFFFF"/>
        </w:rPr>
      </w:pPr>
      <w:r>
        <w:rPr>
          <w:rFonts w:ascii="方正仿宋简体" w:eastAsia="方正仿宋简体" w:hAnsi="宋体" w:cs="宋体" w:hint="eastAsia"/>
          <w:b/>
          <w:sz w:val="24"/>
          <w:szCs w:val="24"/>
          <w:shd w:val="clear" w:color="auto" w:fill="FFFFFF"/>
        </w:rPr>
        <w:t>5.3报告期末非标准化债权类资产明细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7"/>
        <w:gridCol w:w="1272"/>
        <w:gridCol w:w="1695"/>
        <w:gridCol w:w="1412"/>
        <w:gridCol w:w="1695"/>
        <w:gridCol w:w="1272"/>
        <w:gridCol w:w="849"/>
      </w:tblGrid>
      <w:tr w:rsidR="00474630">
        <w:trPr>
          <w:jc w:val="center"/>
        </w:trPr>
        <w:tc>
          <w:tcPr>
            <w:tcW w:w="70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融资客户</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项目名称</w:t>
            </w:r>
          </w:p>
        </w:tc>
        <w:tc>
          <w:tcPr>
            <w:tcW w:w="141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剩余融资期限</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到期收益分配</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交易结构</w:t>
            </w:r>
          </w:p>
        </w:tc>
        <w:tc>
          <w:tcPr>
            <w:tcW w:w="84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风险状况</w:t>
            </w:r>
          </w:p>
        </w:tc>
      </w:tr>
      <w:tr>
        <w:trPr>
          <w:jc w:val="center"/>
        </w:trPr>
        <w:tc>
          <w:tcPr>
            <w:tcW w:w="70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41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8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r>
    </w:tbl>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§6投资账户信息</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968"/>
        <w:gridCol w:w="1437"/>
        <w:gridCol w:w="2529"/>
        <w:gridCol w:w="1984"/>
        <w:gridCol w:w="1984"/>
      </w:tblGrid>
      <w:tr w:rsidR="00474630">
        <w:trPr>
          <w:trHeight w:val="705"/>
          <w:jc w:val="center"/>
        </w:trPr>
        <w:tc>
          <w:tcPr>
            <w:tcW w:w="968"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43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账户类型</w:t>
            </w:r>
          </w:p>
        </w:tc>
        <w:tc>
          <w:tcPr>
            <w:tcW w:w="252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账号</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账户名称</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开户单位</w:t>
            </w:r>
          </w:p>
        </w:tc>
      </w:tr>
      <w:tr>
        <w:trPr>
          <w:jc w:val="center"/>
        </w:trPr>
        <w:tc>
          <w:tcPr>
            <w:tcW w:w="968"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43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托管账户</w:t>
            </w:r>
          </w:p>
        </w:tc>
        <w:tc>
          <w:tcPr>
            <w:tcW w:w="252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0101090000001216</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南京银行南京分行南银理财鼎瑞悦稳最低持有21天2号</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w:t>
            </w:r>
          </w:p>
        </w:tc>
      </w:tr>
    </w:tbl>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§7 关联交易情况</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报告期内，产品投资于关联方发行的证券</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bookmarkStart w:id="0" w:name="_GoBack"/>
      <w:bookmarkEnd w:id="0"/>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产品投资于关联方作为融资人的非标准化债权类资产业务交易金额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产品投资于关联方承销的证券交易金额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lastRenderedPageBreak/>
        <w:t>产品与关联方作为交易对手开展的投融资业务交易金额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产品投资关联方作为管理人的资产管理产品交易金额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70,000,000.00</w:t>
      </w:r>
      <w:r>
        <w:rPr>
          <w:rFonts w:ascii="方正仿宋简体" w:eastAsia="方正仿宋简体" w:hAnsi="宋体" w:cs="宋体" w:hint="eastAsia"/>
          <w:color w:val="000000"/>
          <w:kern w:val="0"/>
          <w:sz w:val="24"/>
          <w:szCs w:val="24"/>
        </w:rPr>
        <w:t>元。</w:t>
      </w:r>
    </w:p>
    <w:p w:rsidR="00474630" w:rsidRDefault="00AF666C"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w:t>
      </w:r>
      <w:r w:rsidR="00E63E73">
        <w:rPr>
          <w:rFonts w:ascii="方正仿宋简体" w:eastAsia="方正仿宋简体" w:hAnsi="宋体" w:cs="宋体" w:hint="eastAsia"/>
          <w:color w:val="000000"/>
          <w:kern w:val="0"/>
          <w:sz w:val="24"/>
          <w:szCs w:val="24"/>
        </w:rPr>
        <w:t>支付关联方托管费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3,559.41</w:t>
      </w:r>
      <w:r>
        <w:rPr>
          <w:rFonts w:ascii="方正仿宋简体" w:eastAsia="方正仿宋简体" w:hAnsi="宋体" w:cs="宋体" w:hint="eastAsia"/>
          <w:color w:val="000000"/>
          <w:kern w:val="0"/>
          <w:sz w:val="24"/>
          <w:szCs w:val="24"/>
        </w:rPr>
        <w:t>元，</w:t>
      </w:r>
      <w:r w:rsidR="00E63E73">
        <w:rPr>
          <w:rFonts w:ascii="方正仿宋简体" w:eastAsia="方正仿宋简体" w:hAnsi="宋体" w:cs="宋体" w:hint="eastAsia"/>
          <w:color w:val="000000"/>
          <w:kern w:val="0"/>
          <w:sz w:val="24"/>
          <w:szCs w:val="24"/>
        </w:rPr>
        <w:t>支付关联方代销费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0.00</w:t>
      </w:r>
      <w:r w:rsidR="00E63E73">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产品发生其他关联交易金额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spacing w:before="240" w:afterLines="30" w:line="360" w:lineRule="auto"/>
        <w:ind w:firstLineChars="200" w:firstLine="480"/>
        <w:rPr>
          <w:rFonts w:ascii="方正仿宋简体" w:eastAsia="方正仿宋简体" w:hAnsi="宋体" w:cs="宋体"/>
          <w:kern w:val="0"/>
          <w:sz w:val="24"/>
          <w:szCs w:val="24"/>
        </w:rPr>
      </w:pPr>
      <w:r>
        <w:rPr>
          <w:rFonts w:ascii="方正仿宋简体" w:eastAsia="方正仿宋简体" w:hAnsi="宋体" w:cs="宋体" w:hint="eastAsia"/>
          <w:color w:val="000000"/>
          <w:kern w:val="0"/>
          <w:sz w:val="24"/>
          <w:szCs w:val="24"/>
        </w:rPr>
        <w:t>报告期内，产品未发生重大关联交易。</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right"/>
        <w:rPr>
          <w:rFonts w:ascii="方正仿宋简体" w:eastAsia="方正仿宋简体" w:hAnsi="Calibri"/>
          <w:b/>
          <w:sz w:val="24"/>
          <w:szCs w:val="24"/>
        </w:rPr>
      </w:pPr>
      <w:r>
        <w:rPr>
          <w:rFonts w:ascii="方正仿宋简体" w:eastAsia="方正仿宋简体" w:hAnsi="Calibri" w:hint="eastAsia"/>
          <w:b/>
          <w:sz w:val="24"/>
          <w:szCs w:val="24"/>
        </w:rPr>
        <w:t>南银理财有限责任公司</w:t>
      </w:r>
    </w:p>
    <w:p w:rsidR="00474630" w:rsidRDefault="00E63E73" w:rsidP="003543F3">
      <w:pPr>
        <w:spacing w:before="240" w:afterLines="30" w:line="360" w:lineRule="auto"/>
        <w:jc w:val="right"/>
        <w:rPr>
          <w:rFonts w:ascii="方正仿宋简体" w:eastAsia="方正仿宋简体"/>
          <w:b/>
          <w:sz w:val="24"/>
          <w:szCs w:val="24"/>
        </w:rPr>
      </w:pPr>
      <w:r>
        <w:rPr>
          <w:rFonts w:ascii="方正仿宋简体" w:eastAsia="方正仿宋简体" w:hint="eastAsia"/>
          <w:b/>
          <w:sz w:val="24"/>
          <w:szCs w:val="24"/>
        </w:rPr>
        <w:t>2025年06月30日</w:t>
      </w:r>
    </w:p>
    <w:sectPr w:rsidR="00474630" w:rsidSect="00474630">
      <w:headerReference w:type="default" r:id="rId7"/>
      <w:footerReference w:type="even" r:id="rId8"/>
      <w:footerReference w:type="default" r:id="rId9"/>
      <w:headerReference w:type="first" r:id="rId10"/>
      <w:pgSz w:w="11926" w:h="16867"/>
      <w:pgMar w:top="1418" w:right="1418" w:bottom="853"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5F" w:rsidRDefault="003C565F" w:rsidP="00474630">
      <w:r>
        <w:separator/>
      </w:r>
    </w:p>
  </w:endnote>
  <w:endnote w:type="continuationSeparator" w:id="1">
    <w:p w:rsidR="003C565F" w:rsidRDefault="003C565F" w:rsidP="0047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3543F3">
    <w:pPr>
      <w:pStyle w:val="a6"/>
      <w:framePr w:wrap="around" w:vAnchor="text" w:hAnchor="margin" w:xAlign="center" w:y="1"/>
      <w:rPr>
        <w:rStyle w:val="aa"/>
      </w:rPr>
    </w:pPr>
    <w:r>
      <w:fldChar w:fldCharType="begin"/>
    </w:r>
    <w:r w:rsidR="00E63E73">
      <w:rPr>
        <w:rStyle w:val="aa"/>
      </w:rPr>
      <w:instrText xml:space="preserve">PAGE  </w:instrText>
    </w:r>
    <w:r>
      <w:fldChar w:fldCharType="end"/>
    </w:r>
  </w:p>
  <w:p w:rsidR="00474630" w:rsidRDefault="004746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5F" w:rsidRDefault="003C565F" w:rsidP="00474630">
      <w:r>
        <w:separator/>
      </w:r>
    </w:p>
  </w:footnote>
  <w:footnote w:type="continuationSeparator" w:id="1">
    <w:p w:rsidR="003C565F" w:rsidRDefault="003C565F" w:rsidP="0047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compressPunctuation"/>
  <w:hdrShapeDefaults>
    <o:shapedefaults v:ext="edit" spidmax="21506"/>
  </w:hdrShapeDefaults>
  <w:footnotePr>
    <w:footnote w:id="0"/>
    <w:footnote w:id="1"/>
  </w:footnotePr>
  <w:endnotePr>
    <w:endnote w:id="0"/>
    <w:endnote w:id="1"/>
  </w:endnotePr>
  <w:compat>
    <w:doNotExpandShiftReturn/>
    <w:useFELayout/>
  </w:compat>
  <w:rsids>
    <w:rsidRoot w:val="00172A27"/>
    <w:rsid w:val="00000A95"/>
    <w:rsid w:val="000060E5"/>
    <w:rsid w:val="00015019"/>
    <w:rsid w:val="000234FF"/>
    <w:rsid w:val="00026D52"/>
    <w:rsid w:val="000318AA"/>
    <w:rsid w:val="00034E27"/>
    <w:rsid w:val="00034FF6"/>
    <w:rsid w:val="00044BFF"/>
    <w:rsid w:val="000470C2"/>
    <w:rsid w:val="0005474A"/>
    <w:rsid w:val="00061725"/>
    <w:rsid w:val="000633AA"/>
    <w:rsid w:val="00066A9A"/>
    <w:rsid w:val="000737ED"/>
    <w:rsid w:val="00095B95"/>
    <w:rsid w:val="000A2E96"/>
    <w:rsid w:val="000A3711"/>
    <w:rsid w:val="000D096A"/>
    <w:rsid w:val="000D5066"/>
    <w:rsid w:val="000E6ACE"/>
    <w:rsid w:val="000F06ED"/>
    <w:rsid w:val="000F27F1"/>
    <w:rsid w:val="000F6191"/>
    <w:rsid w:val="00113F5F"/>
    <w:rsid w:val="001279EA"/>
    <w:rsid w:val="00130CE8"/>
    <w:rsid w:val="0013364F"/>
    <w:rsid w:val="00140660"/>
    <w:rsid w:val="0014449D"/>
    <w:rsid w:val="00150E2C"/>
    <w:rsid w:val="00152201"/>
    <w:rsid w:val="00171891"/>
    <w:rsid w:val="00172A27"/>
    <w:rsid w:val="00173478"/>
    <w:rsid w:val="001735BA"/>
    <w:rsid w:val="00176636"/>
    <w:rsid w:val="00183C84"/>
    <w:rsid w:val="001B497D"/>
    <w:rsid w:val="001C05F9"/>
    <w:rsid w:val="001C212D"/>
    <w:rsid w:val="001C5395"/>
    <w:rsid w:val="001E0240"/>
    <w:rsid w:val="001E2EEA"/>
    <w:rsid w:val="001E5905"/>
    <w:rsid w:val="001E5DF7"/>
    <w:rsid w:val="001E7120"/>
    <w:rsid w:val="002038D7"/>
    <w:rsid w:val="00211F26"/>
    <w:rsid w:val="00220B2B"/>
    <w:rsid w:val="00224D9D"/>
    <w:rsid w:val="00225D2E"/>
    <w:rsid w:val="002263FC"/>
    <w:rsid w:val="002354F6"/>
    <w:rsid w:val="002448E3"/>
    <w:rsid w:val="00247A0A"/>
    <w:rsid w:val="00266437"/>
    <w:rsid w:val="002737A8"/>
    <w:rsid w:val="00290B55"/>
    <w:rsid w:val="00295E85"/>
    <w:rsid w:val="002A3AE9"/>
    <w:rsid w:val="002B7F5A"/>
    <w:rsid w:val="002C196E"/>
    <w:rsid w:val="002D2DB0"/>
    <w:rsid w:val="002D75D0"/>
    <w:rsid w:val="002E1DB7"/>
    <w:rsid w:val="002E7131"/>
    <w:rsid w:val="002E795C"/>
    <w:rsid w:val="002F60A1"/>
    <w:rsid w:val="00302167"/>
    <w:rsid w:val="00305714"/>
    <w:rsid w:val="00313E71"/>
    <w:rsid w:val="00321CB7"/>
    <w:rsid w:val="003379A9"/>
    <w:rsid w:val="00341B28"/>
    <w:rsid w:val="00342DC1"/>
    <w:rsid w:val="00350ADF"/>
    <w:rsid w:val="003543F3"/>
    <w:rsid w:val="00355623"/>
    <w:rsid w:val="00387F9B"/>
    <w:rsid w:val="003A0419"/>
    <w:rsid w:val="003B117F"/>
    <w:rsid w:val="003B4AB4"/>
    <w:rsid w:val="003B750C"/>
    <w:rsid w:val="003C4D3B"/>
    <w:rsid w:val="003C565F"/>
    <w:rsid w:val="003D30C4"/>
    <w:rsid w:val="003E09EA"/>
    <w:rsid w:val="003E412C"/>
    <w:rsid w:val="003F0AC3"/>
    <w:rsid w:val="0040507F"/>
    <w:rsid w:val="00433022"/>
    <w:rsid w:val="00455600"/>
    <w:rsid w:val="00456251"/>
    <w:rsid w:val="004660E6"/>
    <w:rsid w:val="00474630"/>
    <w:rsid w:val="00486936"/>
    <w:rsid w:val="004A0363"/>
    <w:rsid w:val="004B5DED"/>
    <w:rsid w:val="004C1607"/>
    <w:rsid w:val="004D1326"/>
    <w:rsid w:val="004D1578"/>
    <w:rsid w:val="004E621E"/>
    <w:rsid w:val="004F2359"/>
    <w:rsid w:val="004F313C"/>
    <w:rsid w:val="0050244A"/>
    <w:rsid w:val="005069D8"/>
    <w:rsid w:val="0051077F"/>
    <w:rsid w:val="00522179"/>
    <w:rsid w:val="00522858"/>
    <w:rsid w:val="0056162E"/>
    <w:rsid w:val="00563B93"/>
    <w:rsid w:val="00565BF6"/>
    <w:rsid w:val="00567DB3"/>
    <w:rsid w:val="00587C3C"/>
    <w:rsid w:val="00594CF2"/>
    <w:rsid w:val="005B272E"/>
    <w:rsid w:val="005B3434"/>
    <w:rsid w:val="005B7384"/>
    <w:rsid w:val="005D5ED6"/>
    <w:rsid w:val="005D7503"/>
    <w:rsid w:val="005E0686"/>
    <w:rsid w:val="005E2884"/>
    <w:rsid w:val="005E40C5"/>
    <w:rsid w:val="005E5050"/>
    <w:rsid w:val="005F0633"/>
    <w:rsid w:val="005F0C5B"/>
    <w:rsid w:val="005F2C7B"/>
    <w:rsid w:val="005F4D04"/>
    <w:rsid w:val="005F7DA9"/>
    <w:rsid w:val="006054F8"/>
    <w:rsid w:val="006107E3"/>
    <w:rsid w:val="00617E25"/>
    <w:rsid w:val="00641FC1"/>
    <w:rsid w:val="006529A7"/>
    <w:rsid w:val="0065419A"/>
    <w:rsid w:val="00654220"/>
    <w:rsid w:val="0065529B"/>
    <w:rsid w:val="006624C2"/>
    <w:rsid w:val="00663B94"/>
    <w:rsid w:val="00676076"/>
    <w:rsid w:val="00677AB7"/>
    <w:rsid w:val="00677F66"/>
    <w:rsid w:val="006C1014"/>
    <w:rsid w:val="006D5D22"/>
    <w:rsid w:val="006E3BA0"/>
    <w:rsid w:val="006E4E94"/>
    <w:rsid w:val="006E70D5"/>
    <w:rsid w:val="006F69B2"/>
    <w:rsid w:val="007017D8"/>
    <w:rsid w:val="007110ED"/>
    <w:rsid w:val="00730BEE"/>
    <w:rsid w:val="0073101E"/>
    <w:rsid w:val="00733378"/>
    <w:rsid w:val="00735153"/>
    <w:rsid w:val="00735E29"/>
    <w:rsid w:val="00745421"/>
    <w:rsid w:val="00745F96"/>
    <w:rsid w:val="0074729D"/>
    <w:rsid w:val="00782F29"/>
    <w:rsid w:val="00790CB3"/>
    <w:rsid w:val="00796214"/>
    <w:rsid w:val="00797543"/>
    <w:rsid w:val="007A4219"/>
    <w:rsid w:val="007B08DF"/>
    <w:rsid w:val="007C3B15"/>
    <w:rsid w:val="007C4F56"/>
    <w:rsid w:val="007E0B6E"/>
    <w:rsid w:val="007E4637"/>
    <w:rsid w:val="00800690"/>
    <w:rsid w:val="0080200C"/>
    <w:rsid w:val="00802D0C"/>
    <w:rsid w:val="00810B7D"/>
    <w:rsid w:val="00814110"/>
    <w:rsid w:val="00822116"/>
    <w:rsid w:val="0082561A"/>
    <w:rsid w:val="00846B2E"/>
    <w:rsid w:val="0085663C"/>
    <w:rsid w:val="00870717"/>
    <w:rsid w:val="008768AB"/>
    <w:rsid w:val="008870FD"/>
    <w:rsid w:val="008904CC"/>
    <w:rsid w:val="008926F7"/>
    <w:rsid w:val="00895C9A"/>
    <w:rsid w:val="008A7510"/>
    <w:rsid w:val="008B2B66"/>
    <w:rsid w:val="008C18AE"/>
    <w:rsid w:val="008C3CBF"/>
    <w:rsid w:val="008C670A"/>
    <w:rsid w:val="008C78BD"/>
    <w:rsid w:val="008D0EE1"/>
    <w:rsid w:val="008F099C"/>
    <w:rsid w:val="008F0FA3"/>
    <w:rsid w:val="00900D90"/>
    <w:rsid w:val="0090315A"/>
    <w:rsid w:val="00907C39"/>
    <w:rsid w:val="00914E15"/>
    <w:rsid w:val="009354D6"/>
    <w:rsid w:val="00956754"/>
    <w:rsid w:val="009679B0"/>
    <w:rsid w:val="00970A98"/>
    <w:rsid w:val="00977E89"/>
    <w:rsid w:val="00991B0F"/>
    <w:rsid w:val="009A00E4"/>
    <w:rsid w:val="009A4E79"/>
    <w:rsid w:val="009B1695"/>
    <w:rsid w:val="009B1B47"/>
    <w:rsid w:val="009B2EEF"/>
    <w:rsid w:val="009B50F2"/>
    <w:rsid w:val="009C24C2"/>
    <w:rsid w:val="009C6A99"/>
    <w:rsid w:val="009C781F"/>
    <w:rsid w:val="009D5296"/>
    <w:rsid w:val="009D6978"/>
    <w:rsid w:val="009E6170"/>
    <w:rsid w:val="009F1FD4"/>
    <w:rsid w:val="009F4338"/>
    <w:rsid w:val="00A061C5"/>
    <w:rsid w:val="00A204A0"/>
    <w:rsid w:val="00A30A44"/>
    <w:rsid w:val="00A4484F"/>
    <w:rsid w:val="00A644D2"/>
    <w:rsid w:val="00A66D8E"/>
    <w:rsid w:val="00A7328D"/>
    <w:rsid w:val="00A76D4B"/>
    <w:rsid w:val="00A77C47"/>
    <w:rsid w:val="00A8398D"/>
    <w:rsid w:val="00A9119C"/>
    <w:rsid w:val="00A94A56"/>
    <w:rsid w:val="00AA36EB"/>
    <w:rsid w:val="00AA4549"/>
    <w:rsid w:val="00AA5B04"/>
    <w:rsid w:val="00AA6CFF"/>
    <w:rsid w:val="00AB40C1"/>
    <w:rsid w:val="00AC3D79"/>
    <w:rsid w:val="00AC5144"/>
    <w:rsid w:val="00AD3853"/>
    <w:rsid w:val="00AF666C"/>
    <w:rsid w:val="00B13014"/>
    <w:rsid w:val="00B17559"/>
    <w:rsid w:val="00B176FA"/>
    <w:rsid w:val="00B23E1D"/>
    <w:rsid w:val="00B33978"/>
    <w:rsid w:val="00B33B19"/>
    <w:rsid w:val="00B3722F"/>
    <w:rsid w:val="00B404E6"/>
    <w:rsid w:val="00B41C54"/>
    <w:rsid w:val="00B4360D"/>
    <w:rsid w:val="00B534AE"/>
    <w:rsid w:val="00B61EA9"/>
    <w:rsid w:val="00B670D1"/>
    <w:rsid w:val="00B74DCA"/>
    <w:rsid w:val="00B94CD4"/>
    <w:rsid w:val="00B964AE"/>
    <w:rsid w:val="00BA2C7F"/>
    <w:rsid w:val="00BA5103"/>
    <w:rsid w:val="00BA632A"/>
    <w:rsid w:val="00BC3903"/>
    <w:rsid w:val="00BD7DB5"/>
    <w:rsid w:val="00BE106D"/>
    <w:rsid w:val="00BE47E0"/>
    <w:rsid w:val="00BF3D9D"/>
    <w:rsid w:val="00BF75C8"/>
    <w:rsid w:val="00C00058"/>
    <w:rsid w:val="00C02F0B"/>
    <w:rsid w:val="00C11797"/>
    <w:rsid w:val="00C1762E"/>
    <w:rsid w:val="00C20F36"/>
    <w:rsid w:val="00C20F84"/>
    <w:rsid w:val="00C25123"/>
    <w:rsid w:val="00C2582A"/>
    <w:rsid w:val="00C30A48"/>
    <w:rsid w:val="00C375A7"/>
    <w:rsid w:val="00C44DD0"/>
    <w:rsid w:val="00C44DFE"/>
    <w:rsid w:val="00C62DF8"/>
    <w:rsid w:val="00C640FB"/>
    <w:rsid w:val="00C86023"/>
    <w:rsid w:val="00C94EBA"/>
    <w:rsid w:val="00C973B4"/>
    <w:rsid w:val="00CA2770"/>
    <w:rsid w:val="00CB054E"/>
    <w:rsid w:val="00CC52D7"/>
    <w:rsid w:val="00CD4ADA"/>
    <w:rsid w:val="00CE4DED"/>
    <w:rsid w:val="00D20F53"/>
    <w:rsid w:val="00D23611"/>
    <w:rsid w:val="00D23AB6"/>
    <w:rsid w:val="00D50309"/>
    <w:rsid w:val="00D51AA9"/>
    <w:rsid w:val="00D7264A"/>
    <w:rsid w:val="00D84E43"/>
    <w:rsid w:val="00D870DF"/>
    <w:rsid w:val="00DA139A"/>
    <w:rsid w:val="00DA2489"/>
    <w:rsid w:val="00DA30A0"/>
    <w:rsid w:val="00DB0C2F"/>
    <w:rsid w:val="00DB3BF6"/>
    <w:rsid w:val="00DB56A2"/>
    <w:rsid w:val="00DC31CC"/>
    <w:rsid w:val="00DC5A6B"/>
    <w:rsid w:val="00DC728A"/>
    <w:rsid w:val="00DD2F3C"/>
    <w:rsid w:val="00DD4A55"/>
    <w:rsid w:val="00DD65B5"/>
    <w:rsid w:val="00DD782E"/>
    <w:rsid w:val="00DF6907"/>
    <w:rsid w:val="00E1059D"/>
    <w:rsid w:val="00E126A1"/>
    <w:rsid w:val="00E155DF"/>
    <w:rsid w:val="00E174FA"/>
    <w:rsid w:val="00E246E1"/>
    <w:rsid w:val="00E314CE"/>
    <w:rsid w:val="00E514EB"/>
    <w:rsid w:val="00E52823"/>
    <w:rsid w:val="00E52B10"/>
    <w:rsid w:val="00E600D0"/>
    <w:rsid w:val="00E63E73"/>
    <w:rsid w:val="00E7192D"/>
    <w:rsid w:val="00E81033"/>
    <w:rsid w:val="00E944FA"/>
    <w:rsid w:val="00E9797A"/>
    <w:rsid w:val="00EB0DB4"/>
    <w:rsid w:val="00EB44BE"/>
    <w:rsid w:val="00EC5C4D"/>
    <w:rsid w:val="00ED1047"/>
    <w:rsid w:val="00EE0436"/>
    <w:rsid w:val="00EF04A5"/>
    <w:rsid w:val="00F14AF9"/>
    <w:rsid w:val="00F258C8"/>
    <w:rsid w:val="00F30035"/>
    <w:rsid w:val="00F41324"/>
    <w:rsid w:val="00F47D39"/>
    <w:rsid w:val="00F47E18"/>
    <w:rsid w:val="00F57C12"/>
    <w:rsid w:val="00F609FD"/>
    <w:rsid w:val="00F64BD9"/>
    <w:rsid w:val="00F65ACC"/>
    <w:rsid w:val="00F7052D"/>
    <w:rsid w:val="00F771E3"/>
    <w:rsid w:val="00F8162C"/>
    <w:rsid w:val="00F836F7"/>
    <w:rsid w:val="00F859AB"/>
    <w:rsid w:val="00F950D0"/>
    <w:rsid w:val="00FA0110"/>
    <w:rsid w:val="00FA2C26"/>
    <w:rsid w:val="00FA4F66"/>
    <w:rsid w:val="00FC027F"/>
    <w:rsid w:val="00FD1F12"/>
    <w:rsid w:val="00FD412B"/>
    <w:rsid w:val="00FF26C8"/>
    <w:rsid w:val="016D581F"/>
    <w:rsid w:val="030F2BA7"/>
    <w:rsid w:val="04240CEE"/>
    <w:rsid w:val="065551D3"/>
    <w:rsid w:val="06C37561"/>
    <w:rsid w:val="0A236A5A"/>
    <w:rsid w:val="10992483"/>
    <w:rsid w:val="111D4539"/>
    <w:rsid w:val="13297F9C"/>
    <w:rsid w:val="134727C6"/>
    <w:rsid w:val="141A5102"/>
    <w:rsid w:val="15FE575C"/>
    <w:rsid w:val="1ADC05C7"/>
    <w:rsid w:val="1E911FB2"/>
    <w:rsid w:val="20F325AF"/>
    <w:rsid w:val="216F6F5C"/>
    <w:rsid w:val="22D04645"/>
    <w:rsid w:val="22E23E75"/>
    <w:rsid w:val="2555668E"/>
    <w:rsid w:val="25AF3A81"/>
    <w:rsid w:val="26FD4196"/>
    <w:rsid w:val="28CD1EA7"/>
    <w:rsid w:val="29F7636C"/>
    <w:rsid w:val="2A2232BA"/>
    <w:rsid w:val="32955A2A"/>
    <w:rsid w:val="32AE1BB2"/>
    <w:rsid w:val="36341C31"/>
    <w:rsid w:val="368076E6"/>
    <w:rsid w:val="378F5AE0"/>
    <w:rsid w:val="37F709A6"/>
    <w:rsid w:val="39E872E9"/>
    <w:rsid w:val="3ABE1FB8"/>
    <w:rsid w:val="3B4429A4"/>
    <w:rsid w:val="3C753CC7"/>
    <w:rsid w:val="3F2C3B54"/>
    <w:rsid w:val="40990310"/>
    <w:rsid w:val="459870AF"/>
    <w:rsid w:val="45ED49CE"/>
    <w:rsid w:val="46F0109E"/>
    <w:rsid w:val="47475A63"/>
    <w:rsid w:val="4E276A76"/>
    <w:rsid w:val="509017BA"/>
    <w:rsid w:val="51482FC3"/>
    <w:rsid w:val="52830253"/>
    <w:rsid w:val="541C469D"/>
    <w:rsid w:val="5BAD62F8"/>
    <w:rsid w:val="5BE61B5E"/>
    <w:rsid w:val="602D020F"/>
    <w:rsid w:val="64C67B5C"/>
    <w:rsid w:val="66F47EBC"/>
    <w:rsid w:val="681903E9"/>
    <w:rsid w:val="68823415"/>
    <w:rsid w:val="6898111C"/>
    <w:rsid w:val="6A485270"/>
    <w:rsid w:val="6D05415D"/>
    <w:rsid w:val="6F66394D"/>
    <w:rsid w:val="73193673"/>
    <w:rsid w:val="74543F24"/>
    <w:rsid w:val="74BE328D"/>
    <w:rsid w:val="780E0FCF"/>
    <w:rsid w:val="7E724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474630"/>
    <w:rPr>
      <w:b/>
      <w:bCs/>
    </w:rPr>
  </w:style>
  <w:style w:type="paragraph" w:styleId="a4">
    <w:name w:val="annotation text"/>
    <w:basedOn w:val="a"/>
    <w:link w:val="Char0"/>
    <w:uiPriority w:val="99"/>
    <w:unhideWhenUsed/>
    <w:qFormat/>
    <w:rsid w:val="00474630"/>
    <w:pPr>
      <w:jc w:val="left"/>
    </w:pPr>
  </w:style>
  <w:style w:type="paragraph" w:styleId="a5">
    <w:name w:val="Balloon Text"/>
    <w:basedOn w:val="a"/>
    <w:link w:val="Char1"/>
    <w:uiPriority w:val="99"/>
    <w:unhideWhenUsed/>
    <w:qFormat/>
    <w:rsid w:val="00474630"/>
    <w:rPr>
      <w:sz w:val="18"/>
      <w:szCs w:val="18"/>
    </w:rPr>
  </w:style>
  <w:style w:type="paragraph" w:styleId="a6">
    <w:name w:val="footer"/>
    <w:basedOn w:val="a"/>
    <w:link w:val="Char2"/>
    <w:uiPriority w:val="99"/>
    <w:unhideWhenUsed/>
    <w:qFormat/>
    <w:rsid w:val="0047463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74630"/>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474630"/>
    <w:pPr>
      <w:snapToGrid w:val="0"/>
      <w:jc w:val="left"/>
    </w:pPr>
    <w:rPr>
      <w:sz w:val="18"/>
    </w:rPr>
  </w:style>
  <w:style w:type="paragraph" w:styleId="a9">
    <w:name w:val="Normal (Web)"/>
    <w:basedOn w:val="a"/>
    <w:qFormat/>
    <w:rsid w:val="00474630"/>
    <w:pPr>
      <w:widowControl/>
      <w:spacing w:before="100" w:beforeAutospacing="1" w:after="100" w:afterAutospacing="1"/>
      <w:jc w:val="left"/>
    </w:pPr>
    <w:rPr>
      <w:rFonts w:ascii="宋体" w:hAnsi="宋体"/>
      <w:kern w:val="0"/>
      <w:sz w:val="24"/>
      <w:szCs w:val="24"/>
    </w:rPr>
  </w:style>
  <w:style w:type="character" w:styleId="aa">
    <w:name w:val="page number"/>
    <w:basedOn w:val="a0"/>
    <w:uiPriority w:val="99"/>
    <w:unhideWhenUsed/>
    <w:qFormat/>
    <w:rsid w:val="00474630"/>
  </w:style>
  <w:style w:type="character" w:styleId="ab">
    <w:name w:val="annotation reference"/>
    <w:uiPriority w:val="99"/>
    <w:unhideWhenUsed/>
    <w:qFormat/>
    <w:rsid w:val="00474630"/>
    <w:rPr>
      <w:sz w:val="21"/>
      <w:szCs w:val="21"/>
    </w:rPr>
  </w:style>
  <w:style w:type="character" w:styleId="ac">
    <w:name w:val="footnote reference"/>
    <w:uiPriority w:val="99"/>
    <w:unhideWhenUsed/>
    <w:qFormat/>
    <w:rsid w:val="00474630"/>
    <w:rPr>
      <w:vertAlign w:val="superscript"/>
    </w:rPr>
  </w:style>
  <w:style w:type="character" w:customStyle="1" w:styleId="Char1">
    <w:name w:val="批注框文本 Char"/>
    <w:link w:val="a5"/>
    <w:uiPriority w:val="99"/>
    <w:semiHidden/>
    <w:qFormat/>
    <w:rsid w:val="00474630"/>
    <w:rPr>
      <w:kern w:val="2"/>
      <w:sz w:val="18"/>
      <w:szCs w:val="18"/>
    </w:rPr>
  </w:style>
  <w:style w:type="character" w:customStyle="1" w:styleId="Char3">
    <w:name w:val="页眉 Char"/>
    <w:link w:val="a7"/>
    <w:uiPriority w:val="99"/>
    <w:semiHidden/>
    <w:qFormat/>
    <w:locked/>
    <w:rsid w:val="00474630"/>
    <w:rPr>
      <w:rFonts w:ascii="Times New Roman" w:hAnsi="Times New Roman" w:cs="Times New Roman" w:hint="default"/>
      <w:sz w:val="18"/>
      <w:szCs w:val="18"/>
    </w:rPr>
  </w:style>
  <w:style w:type="character" w:customStyle="1" w:styleId="Char">
    <w:name w:val="批注主题 Char"/>
    <w:link w:val="a3"/>
    <w:uiPriority w:val="99"/>
    <w:semiHidden/>
    <w:qFormat/>
    <w:rsid w:val="00474630"/>
    <w:rPr>
      <w:b/>
      <w:bCs/>
      <w:kern w:val="2"/>
      <w:sz w:val="21"/>
      <w:szCs w:val="22"/>
    </w:rPr>
  </w:style>
  <w:style w:type="character" w:customStyle="1" w:styleId="Char2">
    <w:name w:val="页脚 Char"/>
    <w:link w:val="a6"/>
    <w:uiPriority w:val="99"/>
    <w:semiHidden/>
    <w:qFormat/>
    <w:locked/>
    <w:rsid w:val="00474630"/>
    <w:rPr>
      <w:rFonts w:ascii="Times New Roman" w:hAnsi="Times New Roman" w:cs="Times New Roman" w:hint="default"/>
      <w:sz w:val="18"/>
      <w:szCs w:val="18"/>
    </w:rPr>
  </w:style>
  <w:style w:type="character" w:customStyle="1" w:styleId="Char0">
    <w:name w:val="批注文字 Char"/>
    <w:link w:val="a4"/>
    <w:uiPriority w:val="99"/>
    <w:qFormat/>
    <w:rsid w:val="00474630"/>
    <w:rPr>
      <w:kern w:val="2"/>
      <w:sz w:val="21"/>
      <w:szCs w:val="22"/>
    </w:rPr>
  </w:style>
  <w:style w:type="paragraph" w:customStyle="1" w:styleId="zhongyaotishi">
    <w:name w:val="zhongyaotishi"/>
    <w:basedOn w:val="a"/>
    <w:qFormat/>
    <w:rsid w:val="00474630"/>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zhangjiep">
    <w:name w:val="zhangjie_p"/>
    <w:basedOn w:val="a"/>
    <w:qFormat/>
    <w:rsid w:val="00474630"/>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right1">
    <w:name w:val="biaoge_right1"/>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right">
    <w:name w:val="biaoge_right"/>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center">
    <w:name w:val="biaoge_center"/>
    <w:basedOn w:val="a"/>
    <w:qFormat/>
    <w:rsid w:val="00474630"/>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msonormalfy">
    <w:name w:val="msonormalfy"/>
    <w:qFormat/>
    <w:rsid w:val="00474630"/>
    <w:pPr>
      <w:widowControl w:val="0"/>
      <w:jc w:val="center"/>
    </w:pPr>
    <w:rPr>
      <w:kern w:val="2"/>
      <w:sz w:val="33"/>
      <w:szCs w:val="22"/>
    </w:rPr>
  </w:style>
  <w:style w:type="paragraph" w:customStyle="1" w:styleId="biaogeleft">
    <w:name w:val="biaoge_left"/>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a"/>
    <w:qFormat/>
    <w:rsid w:val="00474630"/>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paragraph" w:customStyle="1" w:styleId="zhangjiep2">
    <w:name w:val="zhangjie_p2"/>
    <w:basedOn w:val="a"/>
    <w:qFormat/>
    <w:rsid w:val="00474630"/>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a"/>
    <w:qFormat/>
    <w:rsid w:val="00474630"/>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qFormat/>
    <w:rsid w:val="00474630"/>
    <w:pPr>
      <w:widowControl/>
      <w:spacing w:before="100" w:beforeAutospacing="1" w:after="100" w:afterAutospacing="1"/>
      <w:jc w:val="left"/>
    </w:pPr>
    <w:rPr>
      <w:rFonts w:ascii="宋体" w:hAnsi="宋体" w:cs="宋体"/>
      <w:kern w:val="0"/>
      <w:sz w:val="24"/>
      <w:szCs w:val="24"/>
    </w:rPr>
  </w:style>
  <w:style w:type="paragraph" w:customStyle="1" w:styleId="msonormalnone">
    <w:name w:val="msonormal_none"/>
    <w:qFormat/>
    <w:rsid w:val="00474630"/>
    <w:pPr>
      <w:widowControl w:val="0"/>
    </w:pPr>
    <w:rPr>
      <w:kern w:val="2"/>
      <w:sz w:val="21"/>
      <w:szCs w:val="22"/>
    </w:rPr>
  </w:style>
  <w:style w:type="paragraph" w:customStyle="1" w:styleId="neirong">
    <w:name w:val="neirong"/>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1">
    <w:name w:val="正文1"/>
    <w:qFormat/>
    <w:rsid w:val="00474630"/>
    <w:pPr>
      <w:jc w:val="both"/>
    </w:pPr>
    <w:rPr>
      <w:kern w:val="2"/>
      <w:sz w:val="21"/>
      <w:szCs w:val="21"/>
    </w:rPr>
  </w:style>
  <w:style w:type="paragraph" w:customStyle="1" w:styleId="Default">
    <w:name w:val="Default"/>
    <w:qFormat/>
    <w:rsid w:val="00474630"/>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351</Words>
  <Characters>2006</Characters>
  <Application>Microsoft Office Word</Application>
  <DocSecurity>0</DocSecurity>
  <Lines>16</Lines>
  <Paragraphs>4</Paragraphs>
  <ScaleCrop>false</ScaleCrop>
  <Company>微软中国</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2022-08-03T07:49:00Z</dcterms:created>
  <dc:creator>总行金融市场部本币投资交易部梅浩超</dc:creator>
  <cp:lastModifiedBy>yytx</cp:lastModifiedBy>
  <cp:lastPrinted>2019-09-11T00:56:00Z</cp:lastPrinted>
  <dcterms:modified xsi:type="dcterms:W3CDTF">2025-08-21T07:50:00Z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