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ascii="华文中宋" w:hAnsi="华文中宋" w:eastAsia="华文中宋" w:cs="华文中宋"/>
          <w:b/>
          <w:bCs/>
          <w:sz w:val="44"/>
          <w:szCs w:val="52"/>
        </w:rPr>
      </w:pPr>
      <w:r>
        <w:rPr>
          <w:rFonts w:hint="eastAsia" w:ascii="华文中宋" w:hAnsi="华文中宋" w:eastAsia="华文中宋" w:cs="华文中宋"/>
          <w:b/>
          <w:bCs/>
          <w:sz w:val="44"/>
          <w:szCs w:val="52"/>
        </w:rPr>
        <w:t>珠海华润银行股份有限公司</w:t>
      </w:r>
    </w:p>
    <w:p>
      <w:pPr>
        <w:spacing w:before="480" w:beforeLines="200" w:after="480" w:afterLines="200" w:line="360" w:lineRule="auto"/>
        <w:jc w:val="center"/>
        <w:rPr>
          <w:rFonts w:ascii="华文中宋" w:hAnsi="华文中宋" w:eastAsia="华文中宋" w:cs="华文中宋"/>
          <w:b/>
          <w:bCs/>
          <w:sz w:val="44"/>
          <w:szCs w:val="52"/>
        </w:rPr>
      </w:pPr>
      <w:r>
        <w:rPr>
          <w:rFonts w:hint="eastAsia" w:ascii="华文中宋" w:hAnsi="华文中宋" w:eastAsia="华文中宋" w:cs="华文中宋"/>
          <w:b/>
          <w:bCs/>
          <w:sz w:val="44"/>
          <w:szCs w:val="52"/>
        </w:rPr>
        <w:t>202</w:t>
      </w:r>
      <w:r>
        <w:rPr>
          <w:rFonts w:hint="eastAsia" w:ascii="华文中宋" w:hAnsi="华文中宋" w:eastAsia="华文中宋" w:cs="华文中宋"/>
          <w:b/>
          <w:bCs/>
          <w:sz w:val="44"/>
          <w:szCs w:val="52"/>
          <w:lang w:val="en-US" w:eastAsia="zh-CN"/>
        </w:rPr>
        <w:t>5</w:t>
      </w:r>
      <w:r>
        <w:rPr>
          <w:rFonts w:hint="eastAsia" w:ascii="华文中宋" w:hAnsi="华文中宋" w:eastAsia="华文中宋" w:cs="华文中宋"/>
          <w:b/>
          <w:bCs/>
          <w:sz w:val="44"/>
          <w:szCs w:val="52"/>
        </w:rPr>
        <w:t>年第</w:t>
      </w:r>
      <w:r>
        <w:rPr>
          <w:rFonts w:hint="eastAsia" w:ascii="华文中宋" w:hAnsi="华文中宋" w:eastAsia="华文中宋" w:cs="华文中宋"/>
          <w:b/>
          <w:bCs/>
          <w:sz w:val="44"/>
          <w:szCs w:val="52"/>
          <w:lang w:eastAsia="zh-CN"/>
        </w:rPr>
        <w:t>三</w:t>
      </w:r>
      <w:r>
        <w:rPr>
          <w:rFonts w:hint="eastAsia" w:ascii="华文中宋" w:hAnsi="华文中宋" w:eastAsia="华文中宋" w:cs="华文中宋"/>
          <w:b/>
          <w:bCs/>
          <w:sz w:val="44"/>
          <w:szCs w:val="52"/>
        </w:rPr>
        <w:t>季度第三支柱信息披露报告</w:t>
      </w:r>
    </w:p>
    <w:p>
      <w:pPr>
        <w:spacing w:before="480" w:beforeLines="200" w:after="480" w:afterLines="200" w:line="360" w:lineRule="auto"/>
        <w:jc w:val="center"/>
        <w:rPr>
          <w:rFonts w:ascii="华文中宋" w:hAnsi="华文中宋" w:eastAsia="华文中宋" w:cs="华文中宋"/>
          <w:b/>
          <w:bCs/>
          <w:sz w:val="44"/>
          <w:szCs w:val="52"/>
        </w:rPr>
      </w:pPr>
    </w:p>
    <w:p>
      <w:pPr>
        <w:spacing w:before="480" w:beforeLines="200" w:after="480" w:afterLines="200" w:line="360" w:lineRule="auto"/>
        <w:jc w:val="center"/>
        <w:rPr>
          <w:rFonts w:ascii="华文中宋" w:hAnsi="华文中宋" w:eastAsia="华文中宋" w:cs="华文中宋"/>
          <w:b/>
          <w:bCs/>
          <w:sz w:val="44"/>
          <w:szCs w:val="52"/>
        </w:rPr>
      </w:pPr>
    </w:p>
    <w:p>
      <w:pPr>
        <w:spacing w:before="480" w:beforeLines="200" w:after="480" w:afterLines="200" w:line="360" w:lineRule="auto"/>
        <w:jc w:val="center"/>
        <w:rPr>
          <w:rFonts w:ascii="华文中宋" w:hAnsi="华文中宋" w:eastAsia="华文中宋" w:cs="华文中宋"/>
          <w:b/>
          <w:bCs/>
          <w:sz w:val="32"/>
          <w:szCs w:val="40"/>
        </w:rPr>
      </w:pPr>
      <w:r>
        <w:rPr>
          <w:rFonts w:hint="eastAsia" w:ascii="华文中宋" w:hAnsi="华文中宋" w:eastAsia="华文中宋" w:cs="华文中宋"/>
          <w:b/>
          <w:bCs/>
          <w:sz w:val="32"/>
          <w:szCs w:val="40"/>
        </w:rPr>
        <w:t>202</w:t>
      </w:r>
      <w:r>
        <w:rPr>
          <w:rFonts w:hint="eastAsia" w:ascii="华文中宋" w:hAnsi="华文中宋" w:eastAsia="华文中宋" w:cs="华文中宋"/>
          <w:b/>
          <w:bCs/>
          <w:sz w:val="32"/>
          <w:szCs w:val="40"/>
          <w:lang w:val="en-US" w:eastAsia="zh-CN"/>
        </w:rPr>
        <w:t>5</w:t>
      </w:r>
      <w:r>
        <w:rPr>
          <w:rFonts w:hint="eastAsia" w:ascii="华文中宋" w:hAnsi="华文中宋" w:eastAsia="华文中宋" w:cs="华文中宋"/>
          <w:b/>
          <w:bCs/>
          <w:sz w:val="32"/>
          <w:szCs w:val="40"/>
        </w:rPr>
        <w:t>年</w:t>
      </w:r>
      <w:r>
        <w:rPr>
          <w:rFonts w:hint="eastAsia" w:ascii="华文中宋" w:hAnsi="华文中宋" w:eastAsia="华文中宋" w:cs="华文中宋"/>
          <w:b/>
          <w:bCs/>
          <w:sz w:val="32"/>
          <w:szCs w:val="40"/>
          <w:lang w:val="en-US" w:eastAsia="zh-CN"/>
        </w:rPr>
        <w:t>10</w:t>
      </w:r>
      <w:r>
        <w:rPr>
          <w:rFonts w:hint="eastAsia" w:ascii="华文中宋" w:hAnsi="华文中宋" w:eastAsia="华文中宋" w:cs="华文中宋"/>
          <w:b/>
          <w:bCs/>
          <w:sz w:val="32"/>
          <w:szCs w:val="40"/>
        </w:rPr>
        <w:t>月</w:t>
      </w:r>
    </w:p>
    <w:p>
      <w:pPr>
        <w:jc w:val="center"/>
        <w:rPr>
          <w:rFonts w:ascii="华文细黑" w:hAnsi="华文细黑" w:eastAsia="华文细黑"/>
        </w:rPr>
      </w:pPr>
    </w:p>
    <w:p>
      <w:pPr>
        <w:spacing w:line="360" w:lineRule="auto"/>
        <w:rPr>
          <w:rFonts w:ascii="仿宋" w:hAnsi="仿宋" w:eastAsia="仿宋" w:cs="仿宋"/>
          <w:sz w:val="32"/>
          <w:szCs w:val="32"/>
        </w:rPr>
      </w:pPr>
      <w:r>
        <w:rPr>
          <w:rFonts w:ascii="华文细黑" w:hAnsi="华文细黑" w:eastAsia="华文细黑"/>
        </w:rPr>
        <w:br w:type="page"/>
      </w:r>
      <w:r>
        <w:rPr>
          <w:rFonts w:hint="eastAsia" w:ascii="华文细黑" w:hAnsi="华文细黑" w:eastAsia="华文细黑"/>
          <w:lang w:val="en-US"/>
        </w:rPr>
        <w:t xml:space="preserve">      </w:t>
      </w:r>
      <w:r>
        <w:rPr>
          <w:rFonts w:hint="eastAsia" w:ascii="仿宋" w:hAnsi="仿宋" w:eastAsia="仿宋" w:cs="仿宋"/>
          <w:sz w:val="32"/>
          <w:szCs w:val="32"/>
        </w:rPr>
        <w:t>根据《商业银行资本管理办法》（以下简称“办法”）附件22《商业银行信息披露内容和要求》的规定，</w:t>
      </w:r>
      <w:r>
        <w:rPr>
          <w:rFonts w:hint="eastAsia" w:ascii="仿宋" w:hAnsi="仿宋" w:eastAsia="仿宋" w:cs="仿宋"/>
          <w:sz w:val="32"/>
          <w:szCs w:val="32"/>
          <w:lang w:val="en-US"/>
        </w:rPr>
        <w:t>本行</w:t>
      </w:r>
      <w:r>
        <w:rPr>
          <w:rFonts w:hint="eastAsia" w:ascii="仿宋" w:hAnsi="仿宋" w:eastAsia="仿宋" w:cs="仿宋"/>
          <w:sz w:val="32"/>
          <w:szCs w:val="32"/>
        </w:rPr>
        <w:t>按照</w:t>
      </w:r>
      <w:r>
        <w:rPr>
          <w:rFonts w:hint="eastAsia" w:ascii="仿宋" w:hAnsi="仿宋" w:eastAsia="仿宋" w:cs="仿宋"/>
          <w:sz w:val="32"/>
          <w:szCs w:val="32"/>
          <w:lang w:val="en-US"/>
        </w:rPr>
        <w:t>办法规定的</w:t>
      </w:r>
      <w:r>
        <w:rPr>
          <w:rFonts w:hint="eastAsia" w:ascii="仿宋" w:hAnsi="仿宋" w:eastAsia="仿宋" w:cs="仿宋"/>
          <w:sz w:val="32"/>
          <w:szCs w:val="32"/>
        </w:rPr>
        <w:t>并表范围披露相关信息。本报告披露的报表经</w:t>
      </w:r>
      <w:r>
        <w:rPr>
          <w:rFonts w:hint="eastAsia" w:ascii="仿宋" w:hAnsi="仿宋" w:eastAsia="仿宋" w:cs="仿宋"/>
          <w:sz w:val="32"/>
          <w:szCs w:val="32"/>
          <w:lang w:val="en-US"/>
        </w:rPr>
        <w:t>本行</w:t>
      </w:r>
      <w:r>
        <w:rPr>
          <w:rFonts w:hint="eastAsia" w:ascii="仿宋" w:hAnsi="仿宋" w:eastAsia="仿宋" w:cs="仿宋"/>
          <w:sz w:val="32"/>
          <w:szCs w:val="32"/>
        </w:rPr>
        <w:t>高级管理层确认。</w:t>
      </w:r>
    </w:p>
    <w:p>
      <w:pPr>
        <w:spacing w:line="360" w:lineRule="auto"/>
        <w:rPr>
          <w:rFonts w:ascii="仿宋" w:hAnsi="仿宋" w:eastAsia="仿宋" w:cs="仿宋"/>
          <w:b/>
          <w:bCs/>
          <w:sz w:val="32"/>
          <w:szCs w:val="32"/>
        </w:rPr>
      </w:pPr>
      <w:r>
        <w:rPr>
          <w:rFonts w:hint="eastAsia" w:ascii="仿宋" w:hAnsi="仿宋" w:eastAsia="仿宋" w:cs="仿宋"/>
          <w:b/>
          <w:bCs/>
          <w:sz w:val="32"/>
          <w:szCs w:val="32"/>
        </w:rPr>
        <w:t>KM1监管并表关键审慎监管指标：</w:t>
      </w:r>
    </w:p>
    <w:p>
      <w:pPr>
        <w:spacing w:line="360" w:lineRule="auto"/>
        <w:jc w:val="right"/>
        <w:rPr>
          <w:rFonts w:ascii="仿宋" w:hAnsi="仿宋" w:eastAsia="仿宋" w:cs="仿宋"/>
          <w:sz w:val="28"/>
          <w:szCs w:val="28"/>
          <w:lang w:val="en-US"/>
        </w:rPr>
      </w:pPr>
      <w:r>
        <w:rPr>
          <w:rFonts w:hint="eastAsia" w:ascii="仿宋" w:hAnsi="仿宋" w:eastAsia="仿宋" w:cs="仿宋"/>
          <w:sz w:val="28"/>
          <w:szCs w:val="28"/>
          <w:lang w:val="en-US"/>
        </w:rPr>
        <w:t>单位：人民币百万元,百分比除外</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6"/>
        <w:gridCol w:w="1616"/>
        <w:gridCol w:w="1315"/>
        <w:gridCol w:w="1315"/>
        <w:gridCol w:w="1316"/>
        <w:gridCol w:w="1330"/>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111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项目</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2025年9月30日</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2025年6月30日</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2024年3月31日</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2024年12月31日</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2024年9月30日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核心一级资本净额</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28,764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29,440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28,975</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29,795</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29,313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一级资本净额</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33,768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34,444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30,979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31,799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资本净额</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41,648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39,680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36,156</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37,698</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风险加权资产（数额）</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风险加权资产</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317,014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302,368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289,513</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287,556</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资本充足率</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核心一级资本充足率（%）</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9.07%</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9.74%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10.01%</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10.36%</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一级资本充足率（%）</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10.65%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11.39%</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10.70%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11.06%</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7</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资本充足率（%）</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13.14%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13.12%</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12.49%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13.11%</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其他各级资本要求</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储备资本要求（%）</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9</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逆周期资本要求（%）</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0.00%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0.00%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0.00%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0.00%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全球系统重要性银行或国内系统重要性银行附加资本要求（%）</w:t>
            </w:r>
          </w:p>
        </w:tc>
        <w:tc>
          <w:tcPr>
            <w:tcW w:w="774" w:type="pct"/>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hint="eastAsia" w:ascii="仿宋" w:hAnsi="仿宋" w:eastAsia="仿宋" w:cs="仿宋"/>
                <w:i w:val="0"/>
                <w:iCs w:val="0"/>
                <w:color w:val="000000"/>
                <w:sz w:val="28"/>
                <w:szCs w:val="2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hint="eastAsia" w:ascii="仿宋" w:hAnsi="仿宋" w:eastAsia="仿宋" w:cs="仿宋"/>
                <w:i w:val="0"/>
                <w:iCs w:val="0"/>
                <w:color w:val="000000"/>
                <w:sz w:val="28"/>
                <w:szCs w:val="28"/>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hint="eastAsia" w:ascii="仿宋" w:hAnsi="仿宋" w:eastAsia="仿宋" w:cs="仿宋"/>
                <w:i w:val="0"/>
                <w:iCs w:val="0"/>
                <w:color w:val="000000"/>
                <w:sz w:val="28"/>
                <w:szCs w:val="28"/>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hint="eastAsia" w:ascii="仿宋" w:hAnsi="仿宋" w:eastAsia="仿宋" w:cs="仿宋"/>
                <w:i w:val="0"/>
                <w:iCs w:val="0"/>
                <w:color w:val="000000"/>
                <w:sz w:val="28"/>
                <w:szCs w:val="28"/>
                <w:u w:val="none"/>
              </w:rPr>
            </w:pPr>
            <w:bookmarkStart w:id="0" w:name="_GoBack"/>
            <w:bookmarkEnd w:id="0"/>
          </w:p>
        </w:tc>
        <w:tc>
          <w:tcPr>
            <w:tcW w:w="779" w:type="pct"/>
            <w:tcBorders>
              <w:top w:val="single" w:color="000000" w:sz="4" w:space="0"/>
              <w:left w:val="single" w:color="000000" w:sz="4" w:space="0"/>
              <w:bottom w:val="single" w:color="000000" w:sz="4" w:space="0"/>
              <w:right w:val="single" w:color="000000" w:sz="4" w:space="0"/>
            </w:tcBorders>
            <w:shd w:val="clear" w:color="auto" w:fill="BEBEBE"/>
            <w:vAlign w:val="top"/>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其他各级资本要求（%）（8+9+10）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满足最低资本要求后的可用核心一级资本净额占风险加权资产的比例（%）</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4.07%</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4.74%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4.49%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5.06%</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杠杆率</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13</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调整后表内外资产余额</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540,706</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534,311</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514,349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505,621</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507,717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14</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杠杆率（%）</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6.25%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6.45%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6.02%</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6.29%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14a</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杠杆率a（%）</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6.25%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6.45%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6.02%</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6.29%</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流动性覆盖率</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合格优质流动性资产</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81,968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78,366</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83,530</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81,148</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86,177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16</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现金净流出量</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59,015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37,529</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55,263</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47,912</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60,271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17</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流动性覆盖率（%）</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138.89%</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208.81%</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151.15%</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169.37%</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净稳定资金比例</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18</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可用稳定资金合计</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280,055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273,362</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271,605</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266,851</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263,932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19</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所需稳定资金合计</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241,437</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229,435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222,774</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221,374</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217,340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净稳定资金比例（%）</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116.00%</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119.15%</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121.92%</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120.54%</w:t>
            </w:r>
          </w:p>
        </w:tc>
        <w:tc>
          <w:tcPr>
            <w:tcW w:w="7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4220" w:type="pct"/>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14:ligatures w14:val="standardContextual"/>
              </w:rPr>
              <w:t>流动性比例</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21</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流动性比例（%）</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122.13%</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162.54%</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113.04%</w:t>
            </w:r>
          </w:p>
        </w:tc>
        <w:tc>
          <w:tcPr>
            <w:tcW w:w="7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140.00%</w:t>
            </w:r>
          </w:p>
        </w:tc>
        <w:tc>
          <w:tcPr>
            <w:tcW w:w="7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14:ligatures w14:val="standardContextual"/>
              </w:rPr>
              <w:t>119.28%</w:t>
            </w:r>
          </w:p>
        </w:tc>
      </w:tr>
    </w:tbl>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6"/>
    <w:rsid w:val="00012D6B"/>
    <w:rsid w:val="00026E7F"/>
    <w:rsid w:val="000C3E29"/>
    <w:rsid w:val="000C6AEF"/>
    <w:rsid w:val="000E731B"/>
    <w:rsid w:val="00122A98"/>
    <w:rsid w:val="002414C1"/>
    <w:rsid w:val="002747E1"/>
    <w:rsid w:val="002B4851"/>
    <w:rsid w:val="00307002"/>
    <w:rsid w:val="00312366"/>
    <w:rsid w:val="003F5755"/>
    <w:rsid w:val="006F0CBB"/>
    <w:rsid w:val="007812F2"/>
    <w:rsid w:val="00880A33"/>
    <w:rsid w:val="00887B98"/>
    <w:rsid w:val="00946A7F"/>
    <w:rsid w:val="009F0103"/>
    <w:rsid w:val="00AA2194"/>
    <w:rsid w:val="00ED31FD"/>
    <w:rsid w:val="02A75579"/>
    <w:rsid w:val="033A3DF1"/>
    <w:rsid w:val="1E0A0DB7"/>
    <w:rsid w:val="1F7A5EB1"/>
    <w:rsid w:val="215E58A5"/>
    <w:rsid w:val="2F11116D"/>
    <w:rsid w:val="31B4232F"/>
    <w:rsid w:val="3F76635C"/>
    <w:rsid w:val="58E964AD"/>
    <w:rsid w:val="6EF16E13"/>
    <w:rsid w:val="77A60A35"/>
    <w:rsid w:val="7BCC4E28"/>
    <w:rsid w:val="7F366F4B"/>
    <w:rsid w:val="E6FC1026"/>
    <w:rsid w:val="FFFF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Cs w:val="22"/>
      <w:lang w:val="en-GB"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320"/>
        <w:tab w:val="right" w:pos="8640"/>
      </w:tabs>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Words>
  <Characters>918</Characters>
  <Lines>7</Lines>
  <Paragraphs>2</Paragraphs>
  <TotalTime>11</TotalTime>
  <ScaleCrop>false</ScaleCrop>
  <LinksUpToDate>false</LinksUpToDate>
  <CharactersWithSpaces>1077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2024-10-29T13:16:00Z</dcterms:created>
  <dc:creator>xiewenchi1</dc:creator>
  <cp:lastModifiedBy>chenluqing3</cp:lastModifiedBy>
  <cp:lastPrinted>2024-04-30T08:08:00Z</cp:lastPrinted>
  <dcterms:modified xsi:type="dcterms:W3CDTF">2025-10-27T15:47:14Z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69B1FA08CF1F4E47B3D0CF0E7866D212_13</vt:lpwstr>
  </property>
</Properties>
</file>