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0" w:beforeLines="200" w:after="480" w:afterLines="200" w:line="360" w:lineRule="auto"/>
        <w:jc w:val="center"/>
        <w:rPr>
          <w:rFonts w:ascii="华文中宋" w:hAnsi="华文中宋" w:eastAsia="华文中宋" w:cs="华文中宋"/>
          <w:b/>
          <w:bCs/>
          <w:sz w:val="44"/>
          <w:szCs w:val="52"/>
        </w:rPr>
      </w:pPr>
      <w:r>
        <w:rPr>
          <w:rFonts w:hint="eastAsia" w:ascii="华文中宋" w:hAnsi="华文中宋" w:eastAsia="华文中宋" w:cs="华文中宋"/>
          <w:b/>
          <w:bCs/>
          <w:sz w:val="44"/>
          <w:szCs w:val="52"/>
        </w:rPr>
        <w:t>珠海华润银行股份有限公司</w:t>
      </w:r>
    </w:p>
    <w:p>
      <w:pPr>
        <w:spacing w:before="480" w:beforeLines="200" w:after="480" w:afterLines="200" w:line="360" w:lineRule="auto"/>
        <w:jc w:val="center"/>
        <w:rPr>
          <w:rFonts w:ascii="华文中宋" w:hAnsi="华文中宋" w:eastAsia="华文中宋" w:cs="华文中宋"/>
          <w:b/>
          <w:bCs/>
          <w:sz w:val="44"/>
          <w:szCs w:val="52"/>
        </w:rPr>
      </w:pPr>
      <w:r>
        <w:rPr>
          <w:rFonts w:hint="eastAsia" w:ascii="华文中宋" w:hAnsi="华文中宋" w:eastAsia="华文中宋" w:cs="华文中宋"/>
          <w:b/>
          <w:bCs/>
          <w:sz w:val="44"/>
          <w:szCs w:val="52"/>
        </w:rPr>
        <w:t>202</w:t>
      </w:r>
      <w:r>
        <w:rPr>
          <w:rFonts w:hint="eastAsia" w:ascii="华文中宋" w:hAnsi="华文中宋" w:eastAsia="华文中宋" w:cs="华文中宋"/>
          <w:b/>
          <w:bCs/>
          <w:sz w:val="44"/>
          <w:szCs w:val="52"/>
          <w:lang w:val="en-US" w:eastAsia="zh-CN"/>
        </w:rPr>
        <w:t>5</w:t>
      </w:r>
      <w:r>
        <w:rPr>
          <w:rFonts w:hint="eastAsia" w:ascii="华文中宋" w:hAnsi="华文中宋" w:eastAsia="华文中宋" w:cs="华文中宋"/>
          <w:b/>
          <w:bCs/>
          <w:sz w:val="44"/>
          <w:szCs w:val="52"/>
        </w:rPr>
        <w:t>年半年度第三支柱信息披露报告</w:t>
      </w:r>
    </w:p>
    <w:p>
      <w:pPr>
        <w:spacing w:before="480" w:beforeLines="200" w:after="480" w:afterLines="200" w:line="360" w:lineRule="auto"/>
        <w:jc w:val="center"/>
        <w:rPr>
          <w:rFonts w:ascii="华文中宋" w:hAnsi="华文中宋" w:eastAsia="华文中宋" w:cs="华文中宋"/>
          <w:b/>
          <w:bCs/>
          <w:sz w:val="44"/>
          <w:szCs w:val="52"/>
        </w:rPr>
      </w:pPr>
    </w:p>
    <w:p>
      <w:pPr>
        <w:spacing w:before="480" w:beforeLines="200" w:after="480" w:afterLines="200" w:line="360" w:lineRule="auto"/>
        <w:jc w:val="center"/>
        <w:rPr>
          <w:rFonts w:ascii="华文中宋" w:hAnsi="华文中宋" w:eastAsia="华文中宋" w:cs="华文中宋"/>
          <w:b/>
          <w:bCs/>
          <w:sz w:val="44"/>
          <w:szCs w:val="52"/>
        </w:rPr>
      </w:pPr>
    </w:p>
    <w:p>
      <w:pPr>
        <w:spacing w:before="480" w:beforeLines="200" w:after="480" w:afterLines="200" w:line="360" w:lineRule="auto"/>
        <w:jc w:val="center"/>
        <w:rPr>
          <w:rFonts w:ascii="华文中宋" w:hAnsi="华文中宋" w:eastAsia="华文中宋" w:cs="华文中宋"/>
          <w:b/>
          <w:bCs/>
          <w:sz w:val="32"/>
          <w:szCs w:val="40"/>
        </w:rPr>
      </w:pPr>
      <w:r>
        <w:rPr>
          <w:rFonts w:hint="eastAsia" w:ascii="华文中宋" w:hAnsi="华文中宋" w:eastAsia="华文中宋" w:cs="华文中宋"/>
          <w:b/>
          <w:bCs/>
          <w:sz w:val="32"/>
          <w:szCs w:val="40"/>
        </w:rPr>
        <w:t>202</w:t>
      </w:r>
      <w:r>
        <w:rPr>
          <w:rFonts w:hint="eastAsia" w:ascii="华文中宋" w:hAnsi="华文中宋" w:eastAsia="华文中宋" w:cs="华文中宋"/>
          <w:b/>
          <w:bCs/>
          <w:sz w:val="32"/>
          <w:szCs w:val="40"/>
          <w:lang w:val="en-US" w:eastAsia="zh-CN"/>
        </w:rPr>
        <w:t>5</w:t>
      </w:r>
      <w:r>
        <w:rPr>
          <w:rFonts w:hint="eastAsia" w:ascii="华文中宋" w:hAnsi="华文中宋" w:eastAsia="华文中宋" w:cs="华文中宋"/>
          <w:b/>
          <w:bCs/>
          <w:sz w:val="32"/>
          <w:szCs w:val="40"/>
        </w:rPr>
        <w:t>年</w:t>
      </w:r>
      <w:r>
        <w:rPr>
          <w:rFonts w:ascii="华文中宋" w:hAnsi="华文中宋" w:eastAsia="华文中宋" w:cs="华文中宋"/>
          <w:b/>
          <w:bCs/>
          <w:sz w:val="32"/>
          <w:szCs w:val="40"/>
        </w:rPr>
        <w:t>8</w:t>
      </w:r>
      <w:r>
        <w:rPr>
          <w:rFonts w:hint="eastAsia" w:ascii="华文中宋" w:hAnsi="华文中宋" w:eastAsia="华文中宋" w:cs="华文中宋"/>
          <w:b/>
          <w:bCs/>
          <w:sz w:val="32"/>
          <w:szCs w:val="40"/>
        </w:rPr>
        <w:t>月</w:t>
      </w:r>
    </w:p>
    <w:p>
      <w:pPr>
        <w:jc w:val="center"/>
        <w:rPr>
          <w:rFonts w:ascii="华文细黑" w:hAnsi="华文细黑" w:eastAsia="华文细黑"/>
        </w:rPr>
      </w:pPr>
    </w:p>
    <w:p>
      <w:pPr>
        <w:spacing w:line="360" w:lineRule="auto"/>
        <w:rPr>
          <w:rFonts w:ascii="仿宋" w:hAnsi="仿宋" w:eastAsia="仿宋" w:cs="仿宋"/>
          <w:sz w:val="32"/>
          <w:szCs w:val="32"/>
        </w:rPr>
      </w:pPr>
      <w:r>
        <w:rPr>
          <w:rFonts w:ascii="华文细黑" w:hAnsi="华文细黑" w:eastAsia="华文细黑"/>
        </w:rPr>
        <w:br w:type="page"/>
      </w:r>
      <w:r>
        <w:rPr>
          <w:rFonts w:hint="eastAsia" w:ascii="华文细黑" w:hAnsi="华文细黑" w:eastAsia="华文细黑"/>
          <w:lang w:val="en-US"/>
        </w:rPr>
        <w:t xml:space="preserve">      </w:t>
      </w:r>
      <w:r>
        <w:rPr>
          <w:rFonts w:hint="eastAsia" w:ascii="仿宋" w:hAnsi="仿宋" w:eastAsia="仿宋" w:cs="仿宋"/>
          <w:sz w:val="32"/>
          <w:szCs w:val="32"/>
        </w:rPr>
        <w:t>根据《商业银行资本管理办法》（以下简称“办法”）附件22《商业银行信息披露内容和要求》的规定，</w:t>
      </w:r>
      <w:r>
        <w:rPr>
          <w:rFonts w:hint="eastAsia" w:ascii="仿宋" w:hAnsi="仿宋" w:eastAsia="仿宋" w:cs="仿宋"/>
          <w:sz w:val="32"/>
          <w:szCs w:val="32"/>
          <w:lang w:val="en-US"/>
        </w:rPr>
        <w:t>本行</w:t>
      </w:r>
      <w:r>
        <w:rPr>
          <w:rFonts w:hint="eastAsia" w:ascii="仿宋" w:hAnsi="仿宋" w:eastAsia="仿宋" w:cs="仿宋"/>
          <w:sz w:val="32"/>
          <w:szCs w:val="32"/>
        </w:rPr>
        <w:t>按照</w:t>
      </w:r>
      <w:r>
        <w:rPr>
          <w:rFonts w:hint="eastAsia" w:ascii="仿宋" w:hAnsi="仿宋" w:eastAsia="仿宋" w:cs="仿宋"/>
          <w:sz w:val="32"/>
          <w:szCs w:val="32"/>
          <w:lang w:val="en-US"/>
        </w:rPr>
        <w:t>办法规定的</w:t>
      </w:r>
      <w:r>
        <w:rPr>
          <w:rFonts w:hint="eastAsia" w:ascii="仿宋" w:hAnsi="仿宋" w:eastAsia="仿宋" w:cs="仿宋"/>
          <w:sz w:val="32"/>
          <w:szCs w:val="32"/>
        </w:rPr>
        <w:t>并表范围披露相关信息。本报告披露的报表经</w:t>
      </w:r>
      <w:r>
        <w:rPr>
          <w:rFonts w:hint="eastAsia" w:ascii="仿宋" w:hAnsi="仿宋" w:eastAsia="仿宋" w:cs="仿宋"/>
          <w:sz w:val="32"/>
          <w:szCs w:val="32"/>
          <w:lang w:val="en-US"/>
        </w:rPr>
        <w:t>本行</w:t>
      </w:r>
      <w:r>
        <w:rPr>
          <w:rFonts w:hint="eastAsia" w:ascii="仿宋" w:hAnsi="仿宋" w:eastAsia="仿宋" w:cs="仿宋"/>
          <w:sz w:val="32"/>
          <w:szCs w:val="32"/>
        </w:rPr>
        <w:t>高级管理层确认。</w:t>
      </w:r>
    </w:p>
    <w:p>
      <w:pPr>
        <w:spacing w:line="360" w:lineRule="auto"/>
        <w:rPr>
          <w:rFonts w:ascii="仿宋" w:hAnsi="仿宋" w:eastAsia="仿宋" w:cs="仿宋"/>
          <w:b/>
          <w:bCs/>
          <w:sz w:val="32"/>
          <w:szCs w:val="32"/>
        </w:rPr>
      </w:pPr>
      <w:r>
        <w:rPr>
          <w:rFonts w:hint="eastAsia" w:ascii="仿宋" w:hAnsi="仿宋" w:eastAsia="仿宋" w:cs="仿宋"/>
          <w:b/>
          <w:bCs/>
          <w:sz w:val="32"/>
          <w:szCs w:val="32"/>
        </w:rPr>
        <w:t>KM1监管并表关键审慎监管指标：</w:t>
      </w:r>
    </w:p>
    <w:p>
      <w:pPr>
        <w:spacing w:line="360" w:lineRule="auto"/>
        <w:jc w:val="right"/>
        <w:rPr>
          <w:rFonts w:ascii="仿宋" w:hAnsi="仿宋" w:eastAsia="仿宋" w:cs="仿宋"/>
          <w:sz w:val="28"/>
          <w:szCs w:val="28"/>
          <w:lang w:val="en-US"/>
        </w:rPr>
      </w:pPr>
      <w:r>
        <w:rPr>
          <w:rFonts w:hint="eastAsia" w:ascii="仿宋" w:hAnsi="仿宋" w:eastAsia="仿宋" w:cs="仿宋"/>
          <w:sz w:val="28"/>
          <w:szCs w:val="28"/>
          <w:lang w:val="en-US"/>
        </w:rPr>
        <w:t>单位：人民币百万元,百分比除外</w:t>
      </w:r>
    </w:p>
    <w:tbl>
      <w:tblPr>
        <w:tblStyle w:val="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5"/>
        <w:gridCol w:w="1381"/>
        <w:gridCol w:w="1370"/>
        <w:gridCol w:w="1368"/>
        <w:gridCol w:w="1443"/>
        <w:gridCol w:w="1331"/>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blHeader/>
        </w:trPr>
        <w:tc>
          <w:tcPr>
            <w:tcW w:w="1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8"/>
                <w:szCs w:val="28"/>
                <w:u w:val="none"/>
              </w:rPr>
            </w:pP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2025年6月30日</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2025年3月31日</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2024年12月31日</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2024年9月30日</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2024年6月30日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4252" w:type="pct"/>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可用资本（数额）</w:t>
            </w:r>
          </w:p>
        </w:tc>
        <w:tc>
          <w:tcPr>
            <w:tcW w:w="747" w:type="pct"/>
            <w:tcBorders>
              <w:top w:val="single" w:color="000000" w:sz="4" w:space="0"/>
              <w:left w:val="single" w:color="000000" w:sz="4" w:space="0"/>
              <w:bottom w:val="single" w:color="000000" w:sz="4" w:space="0"/>
              <w:right w:val="single" w:color="000000" w:sz="4" w:space="0"/>
            </w:tcBorders>
            <w:shd w:val="clear" w:color="auto" w:fill="D9D9D9"/>
            <w:vAlign w:val="center"/>
          </w:tcPr>
          <w:p>
            <w:pP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核心一级资本净额</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29,440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28,975</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29,795</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29,313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30,374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一级资本净额</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34,444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30,979</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31,799</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31,319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32,380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3</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资本净额</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39,680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36,156</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37,698</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36,728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37,627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4252" w:type="pct"/>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风险加权资产（数额）</w:t>
            </w:r>
          </w:p>
        </w:tc>
        <w:tc>
          <w:tcPr>
            <w:tcW w:w="747" w:type="pct"/>
            <w:tcBorders>
              <w:top w:val="single" w:color="000000" w:sz="4" w:space="0"/>
              <w:left w:val="single" w:color="000000" w:sz="4" w:space="0"/>
              <w:bottom w:val="single" w:color="000000" w:sz="4" w:space="0"/>
              <w:right w:val="single" w:color="000000" w:sz="4" w:space="0"/>
            </w:tcBorders>
            <w:shd w:val="clear" w:color="auto" w:fill="D9D9D9"/>
            <w:vAlign w:val="center"/>
          </w:tcPr>
          <w:p>
            <w:pP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4</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风险加权资产</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302,368</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289,513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287,556</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287,212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287,304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4252" w:type="pct"/>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资本充足率</w:t>
            </w:r>
          </w:p>
        </w:tc>
        <w:tc>
          <w:tcPr>
            <w:tcW w:w="747" w:type="pct"/>
            <w:tcBorders>
              <w:top w:val="single" w:color="000000" w:sz="4" w:space="0"/>
              <w:left w:val="single" w:color="000000" w:sz="4" w:space="0"/>
              <w:bottom w:val="single" w:color="000000" w:sz="4" w:space="0"/>
              <w:right w:val="single" w:color="000000" w:sz="4" w:space="0"/>
            </w:tcBorders>
            <w:shd w:val="clear" w:color="auto" w:fill="D9D9D9"/>
            <w:vAlign w:val="center"/>
          </w:tcPr>
          <w:p>
            <w:pP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核心一级资本充足率（%）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9.74%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10.01%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10.36%</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10.21%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6</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一级资本充足率（%）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11.39%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10.70%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11.06%</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10.90%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7</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资本充足率（%）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13.12%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12.49%</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13.11%</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12.79%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4252" w:type="pct"/>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其他各级资本要求</w:t>
            </w:r>
          </w:p>
        </w:tc>
        <w:tc>
          <w:tcPr>
            <w:tcW w:w="747" w:type="pct"/>
            <w:tcBorders>
              <w:top w:val="single" w:color="000000" w:sz="4" w:space="0"/>
              <w:left w:val="single" w:color="000000" w:sz="4" w:space="0"/>
              <w:bottom w:val="single" w:color="000000" w:sz="4" w:space="0"/>
              <w:right w:val="single" w:color="000000" w:sz="4" w:space="0"/>
            </w:tcBorders>
            <w:shd w:val="clear" w:color="auto" w:fill="D9D9D9"/>
            <w:vAlign w:val="center"/>
          </w:tcPr>
          <w:p>
            <w:pP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8</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储备资本要求（%）</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2.50%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2.50%</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2.50%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9</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逆周期资本要求（%）</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0.00%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0.00%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0.00%</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0.00%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10</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全球系统重要性银行或国内系统重要性银行附加资本要求（%）</w:t>
            </w:r>
          </w:p>
        </w:tc>
        <w:tc>
          <w:tcPr>
            <w:tcW w:w="773" w:type="pct"/>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rPr>
                <w:rFonts w:hint="eastAsia" w:ascii="仿宋" w:hAnsi="仿宋" w:eastAsia="仿宋" w:cs="仿宋"/>
                <w:i w:val="0"/>
                <w:iCs w:val="0"/>
                <w:color w:val="000000"/>
                <w:sz w:val="28"/>
                <w:szCs w:val="28"/>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rPr>
                <w:rFonts w:hint="eastAsia" w:ascii="仿宋" w:hAnsi="仿宋" w:eastAsia="仿宋" w:cs="仿宋"/>
                <w:i w:val="0"/>
                <w:iCs w:val="0"/>
                <w:color w:val="000000"/>
                <w:sz w:val="28"/>
                <w:szCs w:val="28"/>
                <w:u w:val="none"/>
              </w:rPr>
            </w:pPr>
          </w:p>
        </w:tc>
        <w:tc>
          <w:tcPr>
            <w:tcW w:w="815" w:type="pct"/>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rPr>
                <w:rFonts w:hint="eastAsia" w:ascii="仿宋" w:hAnsi="仿宋" w:eastAsia="仿宋" w:cs="仿宋"/>
                <w:i w:val="0"/>
                <w:iCs w:val="0"/>
                <w:color w:val="000000"/>
                <w:sz w:val="28"/>
                <w:szCs w:val="2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BEBEBE"/>
            <w:vAlign w:val="center"/>
          </w:tcPr>
          <w:p>
            <w:pPr>
              <w:jc w:val="center"/>
              <w:rPr>
                <w:rFonts w:hint="eastAsia" w:ascii="仿宋" w:hAnsi="仿宋" w:eastAsia="仿宋" w:cs="仿宋"/>
                <w:i w:val="0"/>
                <w:iCs w:val="0"/>
                <w:color w:val="000000"/>
                <w:sz w:val="28"/>
                <w:szCs w:val="28"/>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BEBEBE"/>
            <w:vAlign w:val="top"/>
          </w:tcPr>
          <w:p>
            <w:pPr>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11</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其他各级资本要求（%）（8+9+10）</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2.50%</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2.50%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2.50%</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2.50%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12</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满足最低资本要求后的可用核心一级资本净额占风险加权资产的比例（%）</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4.74%</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4.49%</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5.06%</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5.21%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4252" w:type="pct"/>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杠杆率</w:t>
            </w:r>
          </w:p>
        </w:tc>
        <w:tc>
          <w:tcPr>
            <w:tcW w:w="747" w:type="pct"/>
            <w:tcBorders>
              <w:top w:val="single" w:color="000000" w:sz="4" w:space="0"/>
              <w:left w:val="single" w:color="000000" w:sz="4" w:space="0"/>
              <w:bottom w:val="single" w:color="000000" w:sz="4" w:space="0"/>
              <w:right w:val="single" w:color="000000" w:sz="4" w:space="0"/>
            </w:tcBorders>
            <w:shd w:val="clear" w:color="auto" w:fill="D9D9D9"/>
            <w:vAlign w:val="center"/>
          </w:tcPr>
          <w:p>
            <w:pP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13</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调整后表内外资产余额</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534,311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514,349</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505,621</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507,717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500,777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14</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杠杆率（%）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6.45%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6.02%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6.29%</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6.17%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14a</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杠杆率a（%）</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6.45%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6.02%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6.29%</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6.17%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4252" w:type="pct"/>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流动性覆盖率</w:t>
            </w:r>
          </w:p>
        </w:tc>
        <w:tc>
          <w:tcPr>
            <w:tcW w:w="747" w:type="pct"/>
            <w:tcBorders>
              <w:top w:val="single" w:color="000000" w:sz="4" w:space="0"/>
              <w:left w:val="single" w:color="000000" w:sz="4" w:space="0"/>
              <w:bottom w:val="single" w:color="000000" w:sz="4" w:space="0"/>
              <w:right w:val="single" w:color="000000" w:sz="4" w:space="0"/>
            </w:tcBorders>
            <w:shd w:val="clear" w:color="auto" w:fill="D9D9D9"/>
            <w:vAlign w:val="center"/>
          </w:tcPr>
          <w:p>
            <w:pP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15</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合格优质流动性资产</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78,366</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83,530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81,148</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86,177</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84,648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16</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现金净流出量</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37,529</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55,263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47,912</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60,271</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49,445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17</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流动性覆盖率（%）</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208.81%</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151.15%</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169.37%</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142.98%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171.20%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4252" w:type="pct"/>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净稳定资金比例</w:t>
            </w:r>
          </w:p>
        </w:tc>
        <w:tc>
          <w:tcPr>
            <w:tcW w:w="747" w:type="pct"/>
            <w:tcBorders>
              <w:top w:val="single" w:color="000000" w:sz="4" w:space="0"/>
              <w:left w:val="single" w:color="000000" w:sz="4" w:space="0"/>
              <w:bottom w:val="single" w:color="000000" w:sz="4" w:space="0"/>
              <w:right w:val="single" w:color="000000" w:sz="4" w:space="0"/>
            </w:tcBorders>
            <w:shd w:val="clear" w:color="auto" w:fill="D9D9D9"/>
            <w:vAlign w:val="center"/>
          </w:tcPr>
          <w:p>
            <w:pP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18</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可用稳定资金合计</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273,362</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271,605</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266,851</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263,932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257,297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19</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所需稳定资金合计</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229,435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222,774</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221,374</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217,340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208,469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20</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净稳定资金比例（%）</w:t>
            </w:r>
          </w:p>
        </w:tc>
        <w:tc>
          <w:tcPr>
            <w:tcW w:w="7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119.15%</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121.92%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120.54%</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121.44%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123.42%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4252" w:type="pct"/>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流动性比例</w:t>
            </w:r>
          </w:p>
        </w:tc>
        <w:tc>
          <w:tcPr>
            <w:tcW w:w="747" w:type="pct"/>
            <w:tcBorders>
              <w:top w:val="single" w:color="000000" w:sz="4" w:space="0"/>
              <w:left w:val="single" w:color="000000" w:sz="4" w:space="0"/>
              <w:bottom w:val="single" w:color="000000" w:sz="4" w:space="0"/>
              <w:right w:val="single" w:color="000000" w:sz="4" w:space="0"/>
            </w:tcBorders>
            <w:shd w:val="clear" w:color="auto" w:fill="D9D9D9"/>
            <w:vAlign w:val="center"/>
          </w:tcPr>
          <w:p>
            <w:pP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21</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流动性比例（%）</w:t>
            </w:r>
          </w:p>
        </w:tc>
        <w:tc>
          <w:tcPr>
            <w:tcW w:w="7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162.54%</w:t>
            </w:r>
          </w:p>
        </w:tc>
        <w:tc>
          <w:tcPr>
            <w:tcW w:w="7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113.04%</w:t>
            </w:r>
          </w:p>
        </w:tc>
        <w:tc>
          <w:tcPr>
            <w:tcW w:w="8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140.00%</w:t>
            </w:r>
          </w:p>
        </w:tc>
        <w:tc>
          <w:tcPr>
            <w:tcW w:w="7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119.28%</w:t>
            </w:r>
          </w:p>
        </w:tc>
        <w:tc>
          <w:tcPr>
            <w:tcW w:w="7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142.23%</w:t>
            </w:r>
          </w:p>
        </w:tc>
      </w:tr>
    </w:tbl>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r>
        <w:rPr>
          <w:rFonts w:hint="eastAsia" w:ascii="仿宋" w:hAnsi="仿宋" w:eastAsia="仿宋" w:cs="仿宋"/>
          <w:b/>
          <w:bCs/>
          <w:sz w:val="32"/>
          <w:szCs w:val="32"/>
        </w:rPr>
        <w:t>CC1资本构成：</w:t>
      </w:r>
    </w:p>
    <w:p>
      <w:pPr>
        <w:spacing w:line="360" w:lineRule="auto"/>
        <w:jc w:val="right"/>
        <w:rPr>
          <w:rFonts w:ascii="仿宋" w:hAnsi="仿宋" w:eastAsia="仿宋" w:cs="仿宋"/>
          <w:sz w:val="28"/>
          <w:szCs w:val="28"/>
          <w:lang w:val="en-US"/>
        </w:rPr>
      </w:pPr>
      <w:r>
        <w:rPr>
          <w:rFonts w:hint="eastAsia" w:ascii="仿宋" w:hAnsi="仿宋" w:eastAsia="仿宋" w:cs="仿宋"/>
          <w:sz w:val="28"/>
          <w:szCs w:val="28"/>
          <w:lang w:val="en-US"/>
        </w:rPr>
        <w:t>单位：人民币百万元,百分比除外</w:t>
      </w:r>
    </w:p>
    <w:tbl>
      <w:tblPr>
        <w:tblStyle w:val="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5580"/>
        <w:gridCol w:w="2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blHeader/>
        </w:trPr>
        <w:tc>
          <w:tcPr>
            <w:tcW w:w="365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2025年6月30日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核心一级资本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实收资本和资本公积可计入部分</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15,337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留存收益</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15,169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2a</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盈余公积</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1,533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2b</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一般风险准备</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5,108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2c</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未分配利润</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8,528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3</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累计其他综合收益</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144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4</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少数股东资本可计入部分</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5</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扣除前的核心一级资本</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30,674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Style w:val="6"/>
                <w:lang w:val="en-US" w:eastAsia="zh-CN" w:bidi="ar"/>
                <w14:ligatures w14:val="standardContextual"/>
              </w:rPr>
              <w:t>核心一级资本：扣除项</w:t>
            </w:r>
            <w:r>
              <w:rPr>
                <w:rStyle w:val="7"/>
                <w:lang w:val="en-US" w:eastAsia="zh-CN" w:bidi="ar"/>
                <w14:ligatures w14:val="standardContextua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6</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审慎估值调整</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7</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商誉（扣除递延税负债）</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8</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其他无形资产（土地使用权除外）（扣除递延税负债）</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271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9</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依赖未来盈利的由经营亏损引起的净递延税资产</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10</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对未按公允价值计量的项目进行套期形成的现金流储备</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11</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损失准备缺口</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12</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资产证券化销售利得</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13</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自身信用风险变化导致其负债公允价值变化带来的未实现损益</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14</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确定受益类的养老金资产净额（扣除递延税负债）</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15</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直接或间接持有本银行的股票</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16</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银行间或银行与其他金融机构间通过协议相互持有的核心一级资本</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17</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对未并表金融机构小额少数资本投资中的核心一级资本中应扣除金额</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18</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对未并表金融机构大额少数资本投资中的核心一级资本中应扣除金额</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19</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其他依赖于银行未来盈利的净递延税资产中应扣除金额</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963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20</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对未并表金融机构大额少数资本投资中的核心一级资本和其他依赖于银行未来盈利的净递延税资产的未扣除部分超过核心一级资本15%的应扣除金额</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21</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Style w:val="7"/>
                <w:lang w:val="en-US" w:eastAsia="zh-CN" w:bidi="ar"/>
                <w14:ligatures w14:val="standardContextual"/>
              </w:rPr>
              <w:t xml:space="preserve">    其中：应在对金融机构大额少数资本投资中扣除的金额</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22</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Style w:val="7"/>
                <w:lang w:val="en-US" w:eastAsia="zh-CN" w:bidi="ar"/>
                <w14:ligatures w14:val="standardContextual"/>
              </w:rPr>
              <w:t xml:space="preserve">    其中：应在其他依赖于银行未来盈利的净递延税资产中扣除的金额</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23</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其他应在核心一级资本中扣除的项目合计</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24</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应从其他一级资本和二级资本中扣除的未扣缺口</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25</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核心一级资本扣除项总和</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1,234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26</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核心一级资本净额</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29,440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其他一级资本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27</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其他一级资本工具及其溢价</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28</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Style w:val="7"/>
                <w:lang w:val="en-US" w:eastAsia="zh-CN" w:bidi="ar"/>
                <w14:ligatures w14:val="standardContextual"/>
              </w:rPr>
              <w:t xml:space="preserve">    其中：权益部分</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29</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Style w:val="7"/>
                <w:lang w:val="en-US" w:eastAsia="zh-CN" w:bidi="ar"/>
                <w14:ligatures w14:val="standardContextual"/>
              </w:rPr>
              <w:t xml:space="preserve">    其中：负债部分</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30</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少数股东资本可计入部分</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31</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扣除前的其他一级资本</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5,004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其他一级资本:扣除项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32</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直接或间接持有的本银行其他一级资本</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33</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银行间或银行与其他金融机构间通过协议相互持有的其他一级资本</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34</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对未并表金融机构小额少数资本投资中的其他一级资本中应扣除金额</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35</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对未并表金融机构大额少数资本投资中的其他一级资本中应扣除金额</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36</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其他应在其他一级资本中扣除的项目合计</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37</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应从二级资本中扣除的未扣缺口</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38</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其他一级资本扣除项总和</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39</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其他一级资本净额</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5,004</w:t>
            </w:r>
            <w:bookmarkStart w:id="0" w:name="_GoBack"/>
            <w:bookmarkEnd w:id="0"/>
            <w:r>
              <w:rPr>
                <w:rFonts w:hint="eastAsia" w:ascii="仿宋" w:hAnsi="仿宋" w:eastAsia="仿宋" w:cs="仿宋"/>
                <w:i w:val="0"/>
                <w:iCs w:val="0"/>
                <w:color w:val="000000"/>
                <w:kern w:val="0"/>
                <w:sz w:val="28"/>
                <w:szCs w:val="28"/>
                <w:u w:val="none"/>
                <w:lang w:val="en-US" w:eastAsia="zh-CN" w:bidi="ar"/>
                <w14:ligatures w14:val="standardContextua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40</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一级资本净额</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34,444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二级资本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41</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二级资本工具及其溢价</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42</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少数股东资本可计入部分</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43</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超额损失准备可计入部分</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2,230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44</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扣除前的二级资本</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5,236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二级资本：扣除项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45</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直接或间接持有的本银行的二级资本</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46</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银行间或银行与其他金融机构间通过协议相互持有的其他一级资本</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47</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对未并表金融机构小额少数资本投资中的二级资本中应扣除金额</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48</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对未并表金融机构大额少数资本投资中的二级资本</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49</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其他应在二级资本中扣除的项目合计</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50</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二级资本扣除项总和</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51</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二级资本净额</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5,236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52</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总资本净额</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39,680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53</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风险加权资产</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302,368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资本充足率和其他各级资本要求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54</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核心一级资本充足率</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55</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一级资本充足率</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56</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资本充足率</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13.12%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57</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其他各级资本要求（%）</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58</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Style w:val="7"/>
                <w:lang w:val="en-US" w:eastAsia="zh-CN" w:bidi="ar"/>
                <w14:ligatures w14:val="standardContextual"/>
              </w:rPr>
              <w:t xml:space="preserve">    其中：储备资本要求</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59</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Style w:val="7"/>
                <w:lang w:val="en-US" w:eastAsia="zh-CN" w:bidi="ar"/>
                <w14:ligatures w14:val="standardContextual"/>
              </w:rPr>
              <w:t xml:space="preserve">    其中：逆周期资本要求</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60</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Style w:val="7"/>
                <w:lang w:val="en-US" w:eastAsia="zh-CN" w:bidi="ar"/>
                <w14:ligatures w14:val="standardContextual"/>
              </w:rPr>
              <w:t xml:space="preserve">    其中：全球系统重要性银行或国内系统重要性银行附加资本要求</w:t>
            </w:r>
          </w:p>
        </w:tc>
        <w:tc>
          <w:tcPr>
            <w:tcW w:w="1349" w:type="pct"/>
            <w:tcBorders>
              <w:top w:val="single" w:color="000000" w:sz="4" w:space="0"/>
              <w:left w:val="single" w:color="000000" w:sz="4" w:space="0"/>
              <w:bottom w:val="single" w:color="000000" w:sz="4" w:space="0"/>
              <w:right w:val="single" w:color="000000" w:sz="4" w:space="0"/>
            </w:tcBorders>
            <w:shd w:val="clear" w:color="auto" w:fill="BEBEBE"/>
            <w:vAlign w:val="center"/>
          </w:tcPr>
          <w:p>
            <w:pPr>
              <w:jc w:val="right"/>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61</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满足最低资本要求后的可用核心一级资本净额占风险加权资产的比例（%）</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我国最低监管资本要求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62</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核心一级资本充足率</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63</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一级资本充足率</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64</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资本充足率</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门槛扣除项中未扣除部分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65</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对未并表金融机构的小额少数资本投资中未扣除部分</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511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66</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对未并表金融机构的大额少数资本投资中未扣除部分</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67</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其他依赖于银行未来盈利的净递延税资产（扣除递延税负债）</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3,040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14:ligatures w14:val="standardContextual"/>
              </w:rPr>
              <w:t>可计入二级资本的超额损失准备的限额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68</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权重法下，实际计提的超额损失准备金额</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2,230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69</w:t>
            </w:r>
          </w:p>
        </w:tc>
        <w:tc>
          <w:tcPr>
            <w:tcW w:w="31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权重法下，可计入二级资本超额损失准备的数额</w:t>
            </w:r>
          </w:p>
        </w:tc>
        <w:tc>
          <w:tcPr>
            <w:tcW w:w="1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14:ligatures w14:val="standardContextual"/>
              </w:rPr>
              <w:t xml:space="preserve">2,230 </w:t>
            </w:r>
          </w:p>
        </w:tc>
      </w:tr>
    </w:tbl>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366"/>
    <w:rsid w:val="00012D6B"/>
    <w:rsid w:val="000E731B"/>
    <w:rsid w:val="00122A98"/>
    <w:rsid w:val="002414C1"/>
    <w:rsid w:val="002B4851"/>
    <w:rsid w:val="00307002"/>
    <w:rsid w:val="00312366"/>
    <w:rsid w:val="003F5755"/>
    <w:rsid w:val="006F0CBB"/>
    <w:rsid w:val="007812F2"/>
    <w:rsid w:val="00887B98"/>
    <w:rsid w:val="00946A7F"/>
    <w:rsid w:val="02A75579"/>
    <w:rsid w:val="033A3DF1"/>
    <w:rsid w:val="1E0A0DB7"/>
    <w:rsid w:val="1F7A5EB1"/>
    <w:rsid w:val="215E58A5"/>
    <w:rsid w:val="2F11116D"/>
    <w:rsid w:val="31B4232F"/>
    <w:rsid w:val="3F76635C"/>
    <w:rsid w:val="58E964AD"/>
    <w:rsid w:val="5DFEB197"/>
    <w:rsid w:val="76A2C88A"/>
    <w:rsid w:val="7BCC4E28"/>
    <w:rsid w:val="FD75A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Cs w:val="22"/>
      <w:lang w:val="en-GB"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320"/>
        <w:tab w:val="right" w:pos="8640"/>
      </w:tabs>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6">
    <w:name w:val="font01"/>
    <w:basedOn w:val="5"/>
    <w:qFormat/>
    <w:uiPriority w:val="0"/>
    <w:rPr>
      <w:rFonts w:hint="eastAsia" w:ascii="仿宋" w:hAnsi="仿宋" w:eastAsia="仿宋" w:cs="仿宋"/>
      <w:b/>
      <w:bCs/>
      <w:color w:val="000000"/>
      <w:sz w:val="28"/>
      <w:szCs w:val="28"/>
      <w:u w:val="none"/>
    </w:rPr>
  </w:style>
  <w:style w:type="character" w:customStyle="1" w:styleId="7">
    <w:name w:val="font11"/>
    <w:basedOn w:val="5"/>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445</Words>
  <Characters>2538</Characters>
  <Lines>21</Lines>
  <Paragraphs>5</Paragraphs>
  <TotalTime>52</TotalTime>
  <ScaleCrop>false</ScaleCrop>
  <LinksUpToDate>false</LinksUpToDate>
  <CharactersWithSpaces>2978</CharactersWithSpaces>
  <Application>WPS Office_11.8.2.12185_F1E327BC-269C-435d-A152-05C5408002CA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2024-08-28T14:06:00Z</dcterms:created>
  <dc:creator>xiewenchi1</dc:creator>
  <cp:lastModifiedBy>chenluqing3</cp:lastModifiedBy>
  <cp:lastPrinted>2024-04-30T08:08:00Z</cp:lastPrinted>
  <dcterms:modified xsi:type="dcterms:W3CDTF">2025-08-27T17:51:44Z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2052-11.8.2.12185</vt:lpwstr>
  </property>
  <property fmtid="{D5CDD505-2E9C-101B-9397-08002B2CF9AE}" pid="3" name="ICV">
    <vt:lpwstr>95BBD393D0D04B479761269919FBAB9D</vt:lpwstr>
  </property>
</Properties>
</file>