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珠海华润银行润悦1号第43</w:t>
      </w:r>
      <w:r>
        <w:rPr>
          <w:rFonts w:hint="eastAsia" w:ascii="微软雅黑" w:hAnsi="微软雅黑" w:eastAsia="微软雅黑"/>
          <w:b/>
          <w:sz w:val="28"/>
          <w:szCs w:val="28"/>
          <w:highlight w:val="none"/>
          <w:lang w:val="en-US" w:eastAsia="zh-CN"/>
        </w:rPr>
        <w:t>3</w:t>
      </w:r>
      <w:r>
        <w:rPr>
          <w:rFonts w:hint="eastAsia" w:ascii="微软雅黑" w:hAnsi="微软雅黑" w:eastAsia="微软雅黑"/>
          <w:b/>
          <w:sz w:val="28"/>
          <w:szCs w:val="28"/>
          <w:highlight w:val="none"/>
        </w:rPr>
        <w:t>期理财产品说明书</w:t>
      </w:r>
      <w:bookmarkStart w:id="2" w:name="_GoBack"/>
      <w:bookmarkEnd w:id="2"/>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珠海华润银行润悦1号第43</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润悦1号第43</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C1082923000139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[2.90%,3.55%]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7363974"/>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09A7004"/>
    <w:rsid w:val="32DC13E4"/>
    <w:rsid w:val="355A7A28"/>
    <w:rsid w:val="35AA05FA"/>
    <w:rsid w:val="38C20218"/>
    <w:rsid w:val="39B82E07"/>
    <w:rsid w:val="43E401C6"/>
    <w:rsid w:val="45585AA1"/>
    <w:rsid w:val="46AE62C2"/>
    <w:rsid w:val="4AD8186E"/>
    <w:rsid w:val="5007118A"/>
    <w:rsid w:val="503C6517"/>
    <w:rsid w:val="50FB1E76"/>
    <w:rsid w:val="54687333"/>
    <w:rsid w:val="59FD2DF2"/>
    <w:rsid w:val="5B7A3DCC"/>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2024-01-22T07:38:29Z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49A84FBA72884DDE99789AE8773DA770</vt:lpwstr>
  </property>
</Properties>
</file>