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3" w:firstLineChars="200"/>
        <w:jc w:val="center"/>
        <w:rPr>
          <w:rFonts w:hint="eastAsia" w:ascii="仿宋" w:hAnsi="仿宋" w:eastAsia="仿宋"/>
          <w:b/>
          <w:sz w:val="32"/>
          <w:szCs w:val="32"/>
        </w:rPr>
      </w:pPr>
    </w:p>
    <w:p>
      <w:pPr>
        <w:spacing w:line="240" w:lineRule="atLeast"/>
        <w:ind w:firstLine="643" w:firstLineChars="200"/>
        <w:jc w:val="center"/>
        <w:rPr>
          <w:rFonts w:ascii="仿宋_GB2312" w:hAnsi="宋体" w:eastAsia="仿宋_GB2312"/>
          <w:sz w:val="32"/>
          <w:szCs w:val="32"/>
        </w:rPr>
      </w:pPr>
      <w:r>
        <w:rPr>
          <w:rFonts w:hint="eastAsia" w:ascii="仿宋" w:hAnsi="仿宋" w:eastAsia="仿宋"/>
          <w:b/>
          <w:sz w:val="32"/>
          <w:szCs w:val="32"/>
        </w:rPr>
        <w:t>珠海华润银行个人银行账户服务协议</w:t>
      </w:r>
    </w:p>
    <w:p>
      <w:pPr>
        <w:pStyle w:val="2"/>
        <w:tabs>
          <w:tab w:val="left" w:pos="0"/>
          <w:tab w:val="left" w:pos="1260"/>
          <w:tab w:val="left" w:pos="1680"/>
        </w:tabs>
        <w:spacing w:line="240" w:lineRule="atLeast"/>
        <w:ind w:firstLine="640" w:firstLineChars="200"/>
        <w:jc w:val="left"/>
        <w:rPr>
          <w:rFonts w:ascii="仿宋_GB2312" w:hAnsi="宋体" w:eastAsia="仿宋_GB2312"/>
          <w:sz w:val="32"/>
          <w:szCs w:val="32"/>
        </w:rPr>
      </w:pPr>
      <w:r>
        <w:rPr>
          <w:rFonts w:hint="eastAsia" w:ascii="仿宋" w:hAnsi="仿宋" w:eastAsia="仿宋"/>
          <w:sz w:val="32"/>
          <w:szCs w:val="32"/>
        </w:rPr>
        <w:t>根据中国人民银行、</w:t>
      </w:r>
      <w:r>
        <w:rPr>
          <w:rFonts w:ascii="仿宋" w:hAnsi="仿宋" w:eastAsia="仿宋"/>
          <w:sz w:val="32"/>
          <w:szCs w:val="32"/>
        </w:rPr>
        <w:t>中国银行</w:t>
      </w:r>
      <w:r>
        <w:rPr>
          <w:rFonts w:hint="eastAsia" w:ascii="仿宋" w:hAnsi="仿宋" w:eastAsia="仿宋"/>
          <w:sz w:val="32"/>
          <w:szCs w:val="32"/>
        </w:rPr>
        <w:t>业</w:t>
      </w:r>
      <w:r>
        <w:rPr>
          <w:rFonts w:ascii="仿宋" w:hAnsi="仿宋" w:eastAsia="仿宋"/>
          <w:sz w:val="32"/>
          <w:szCs w:val="32"/>
        </w:rPr>
        <w:t>监督管理委员会的</w:t>
      </w:r>
      <w:r>
        <w:rPr>
          <w:rFonts w:hint="eastAsia" w:ascii="仿宋" w:hAnsi="仿宋" w:eastAsia="仿宋"/>
          <w:sz w:val="32"/>
          <w:szCs w:val="32"/>
        </w:rPr>
        <w:t>相关法律、法规规定，开户申请人（以下简称“甲方”）与开户银行（以下简称“乙方”）双方就个人银行账户有关事项达成如下协议，并共</w:t>
      </w:r>
      <w:r>
        <w:rPr>
          <w:rFonts w:hint="eastAsia" w:asciiTheme="minorEastAsia" w:hAnsiTheme="minorEastAsia"/>
          <w:sz w:val="32"/>
          <w:szCs w:val="32"/>
        </w:rPr>
        <w:t>同</w:t>
      </w:r>
      <w:r>
        <w:rPr>
          <w:rFonts w:hint="eastAsia" w:ascii="仿宋" w:hAnsi="仿宋" w:eastAsia="仿宋"/>
          <w:sz w:val="32"/>
          <w:szCs w:val="32"/>
        </w:rPr>
        <w:t>遵守。</w:t>
      </w:r>
    </w:p>
    <w:p>
      <w:pPr>
        <w:pStyle w:val="2"/>
        <w:numPr>
          <w:ilvl w:val="0"/>
          <w:numId w:val="1"/>
        </w:numPr>
        <w:tabs>
          <w:tab w:val="left" w:pos="0"/>
          <w:tab w:val="left" w:pos="1260"/>
          <w:tab w:val="left" w:pos="1680"/>
        </w:tabs>
        <w:spacing w:line="240" w:lineRule="atLeast"/>
        <w:ind w:left="0" w:firstLine="640" w:firstLineChars="200"/>
        <w:rPr>
          <w:rFonts w:ascii="仿宋_GB2312" w:hAnsi="宋体" w:eastAsia="仿宋_GB2312"/>
          <w:sz w:val="32"/>
          <w:szCs w:val="32"/>
        </w:rPr>
      </w:pPr>
      <w:r>
        <w:rPr>
          <w:rFonts w:hint="eastAsia" w:ascii="仿宋" w:hAnsi="仿宋" w:eastAsia="仿宋"/>
          <w:sz w:val="32"/>
          <w:szCs w:val="32"/>
        </w:rPr>
        <w:t>甲</w:t>
      </w:r>
      <w:r>
        <w:rPr>
          <w:rFonts w:hint="eastAsia" w:asciiTheme="minorEastAsia" w:hAnsiTheme="minorEastAsia"/>
          <w:sz w:val="32"/>
          <w:szCs w:val="32"/>
        </w:rPr>
        <w:t>方</w:t>
      </w:r>
      <w:r>
        <w:rPr>
          <w:rFonts w:hint="eastAsia" w:ascii="仿宋" w:hAnsi="仿宋" w:eastAsia="仿宋"/>
          <w:sz w:val="32"/>
          <w:szCs w:val="32"/>
        </w:rPr>
        <w:t>自愿选择在乙方开立个人银行账户，乙方同意为甲方开立个人银行账户，并提供个人银行账户服务。</w:t>
      </w:r>
    </w:p>
    <w:p>
      <w:pPr>
        <w:pStyle w:val="2"/>
        <w:numPr>
          <w:ilvl w:val="0"/>
          <w:numId w:val="1"/>
        </w:numPr>
        <w:tabs>
          <w:tab w:val="left" w:pos="0"/>
          <w:tab w:val="left" w:pos="1260"/>
          <w:tab w:val="left" w:pos="1680"/>
        </w:tabs>
        <w:spacing w:line="240" w:lineRule="atLeast"/>
        <w:ind w:left="0" w:firstLine="640" w:firstLineChars="200"/>
        <w:rPr>
          <w:rFonts w:ascii="仿宋_GB2312" w:hAnsi="宋体" w:eastAsia="仿宋_GB2312"/>
          <w:sz w:val="32"/>
          <w:szCs w:val="32"/>
        </w:rPr>
      </w:pPr>
      <w:r>
        <w:rPr>
          <w:rFonts w:hint="eastAsia" w:ascii="仿宋" w:hAnsi="仿宋" w:eastAsia="仿宋"/>
          <w:sz w:val="32"/>
          <w:szCs w:val="32"/>
        </w:rPr>
        <w:t>甲方及其代理人承诺向乙方提供的有效身份证件与手机号码应当真实、合法、有效，当有</w:t>
      </w:r>
      <w:r>
        <w:rPr>
          <w:rFonts w:ascii="仿宋" w:hAnsi="仿宋" w:eastAsia="仿宋"/>
          <w:sz w:val="32"/>
          <w:szCs w:val="32"/>
        </w:rPr>
        <w:t>关资料发生变化</w:t>
      </w:r>
      <w:r>
        <w:rPr>
          <w:rFonts w:hint="eastAsia" w:ascii="仿宋" w:hAnsi="仿宋" w:eastAsia="仿宋"/>
          <w:sz w:val="32"/>
          <w:szCs w:val="32"/>
        </w:rPr>
        <w:t>时</w:t>
      </w:r>
      <w:r>
        <w:rPr>
          <w:rFonts w:ascii="仿宋" w:hAnsi="仿宋" w:eastAsia="仿宋"/>
          <w:sz w:val="32"/>
          <w:szCs w:val="32"/>
        </w:rPr>
        <w:t>，甲方须及时到乙方办理更改手续</w:t>
      </w:r>
      <w:r>
        <w:rPr>
          <w:rFonts w:hint="eastAsia" w:ascii="仿宋" w:hAnsi="仿宋" w:eastAsia="仿宋"/>
          <w:sz w:val="32"/>
          <w:szCs w:val="32"/>
        </w:rPr>
        <w:t>，否则由此产生的一切纠纷及损失由甲方承担。</w:t>
      </w:r>
    </w:p>
    <w:p>
      <w:pPr>
        <w:pStyle w:val="2"/>
        <w:numPr>
          <w:ilvl w:val="0"/>
          <w:numId w:val="1"/>
        </w:numPr>
        <w:tabs>
          <w:tab w:val="left" w:pos="0"/>
          <w:tab w:val="left" w:pos="1260"/>
          <w:tab w:val="left" w:pos="1680"/>
        </w:tabs>
        <w:spacing w:line="240" w:lineRule="atLeast"/>
        <w:ind w:left="0" w:firstLine="640" w:firstLineChars="200"/>
        <w:rPr>
          <w:rFonts w:ascii="仿宋_GB2312" w:hAnsi="宋体" w:eastAsia="仿宋_GB2312"/>
          <w:sz w:val="32"/>
          <w:szCs w:val="32"/>
        </w:rPr>
      </w:pPr>
      <w:r>
        <w:rPr>
          <w:rFonts w:hint="eastAsia" w:ascii="仿宋" w:hAnsi="仿宋" w:eastAsia="仿宋"/>
          <w:sz w:val="32"/>
          <w:szCs w:val="32"/>
        </w:rPr>
        <w:t>存折、存单、借记卡遗失或被盗，甲方应及时通过乙方提供的电话口头挂失或到网点办理书面挂失手续。若存款在挂失前或挂失失效后被他人支取，乙方不承担责任。</w:t>
      </w:r>
    </w:p>
    <w:p>
      <w:pPr>
        <w:pStyle w:val="2"/>
        <w:numPr>
          <w:ilvl w:val="0"/>
          <w:numId w:val="1"/>
        </w:numPr>
        <w:tabs>
          <w:tab w:val="left" w:pos="0"/>
          <w:tab w:val="left" w:pos="1260"/>
          <w:tab w:val="left" w:pos="1680"/>
        </w:tabs>
        <w:spacing w:line="240" w:lineRule="atLeast"/>
        <w:ind w:left="0" w:firstLine="640" w:firstLineChars="200"/>
        <w:rPr>
          <w:rFonts w:ascii="仿宋_GB2312" w:hAnsi="宋体" w:eastAsia="仿宋_GB2312"/>
          <w:sz w:val="32"/>
          <w:szCs w:val="32"/>
        </w:rPr>
      </w:pPr>
      <w:r>
        <w:rPr>
          <w:rFonts w:hint="eastAsia" w:ascii="仿宋" w:hAnsi="仿宋" w:eastAsia="仿宋"/>
          <w:sz w:val="32"/>
          <w:szCs w:val="32"/>
        </w:rPr>
        <w:t>甲方应妥善保管密码，切勿泄漏，因泄漏密码造成的损失，由甲方自行负责。甲方因存折、存单、借记卡保管不善，将存折、存单、借记卡交他人使用或自身使用不当而造成的损失，由甲方本人承担。</w:t>
      </w:r>
    </w:p>
    <w:p>
      <w:pPr>
        <w:pStyle w:val="2"/>
        <w:numPr>
          <w:ilvl w:val="0"/>
          <w:numId w:val="1"/>
        </w:numPr>
        <w:tabs>
          <w:tab w:val="left" w:pos="0"/>
          <w:tab w:val="left" w:pos="1260"/>
          <w:tab w:val="left" w:pos="1680"/>
        </w:tabs>
        <w:spacing w:line="240" w:lineRule="atLeast"/>
        <w:ind w:left="0" w:firstLine="640" w:firstLineChars="200"/>
        <w:rPr>
          <w:rFonts w:ascii="仿宋_GB2312" w:hAnsi="宋体" w:eastAsia="仿宋_GB2312"/>
          <w:sz w:val="32"/>
          <w:szCs w:val="32"/>
        </w:rPr>
      </w:pPr>
      <w:r>
        <w:rPr>
          <w:rFonts w:hint="eastAsia" w:ascii="仿宋" w:hAnsi="仿宋" w:eastAsia="仿宋"/>
          <w:sz w:val="32"/>
          <w:szCs w:val="32"/>
        </w:rPr>
        <w:t>甲方使用个人银行账户办理个人转账收付和现金存取时，要遵守中国人民银行的有关规定。如甲方违规使用个人银行账户，乙方有权停止其使用。</w:t>
      </w:r>
    </w:p>
    <w:p>
      <w:pPr>
        <w:pStyle w:val="2"/>
        <w:numPr>
          <w:ilvl w:val="0"/>
          <w:numId w:val="1"/>
        </w:numPr>
        <w:tabs>
          <w:tab w:val="left" w:pos="0"/>
          <w:tab w:val="left" w:pos="1260"/>
          <w:tab w:val="left" w:pos="1680"/>
        </w:tabs>
        <w:spacing w:line="240" w:lineRule="atLeast"/>
        <w:ind w:left="0" w:firstLine="640" w:firstLineChars="200"/>
        <w:rPr>
          <w:rFonts w:ascii="仿宋_GB2312" w:hAnsi="宋体" w:eastAsia="仿宋_GB2312"/>
          <w:sz w:val="32"/>
          <w:szCs w:val="32"/>
        </w:rPr>
      </w:pPr>
      <w:r>
        <w:rPr>
          <w:rFonts w:hint="eastAsia" w:ascii="仿宋" w:hAnsi="仿宋" w:eastAsia="仿宋"/>
          <w:sz w:val="32"/>
          <w:szCs w:val="32"/>
        </w:rPr>
        <w:t>甲方同意按乙方公布的收费标准支付各类应承担的费用，同意乙方采用扣收的方式从甲方账户中收取相关费用。</w:t>
      </w:r>
    </w:p>
    <w:p>
      <w:pPr>
        <w:pStyle w:val="2"/>
        <w:numPr>
          <w:ilvl w:val="0"/>
          <w:numId w:val="1"/>
        </w:numPr>
        <w:tabs>
          <w:tab w:val="left" w:pos="0"/>
          <w:tab w:val="left" w:pos="1260"/>
          <w:tab w:val="left" w:pos="1680"/>
        </w:tabs>
        <w:spacing w:line="240" w:lineRule="atLeast"/>
        <w:ind w:left="0" w:firstLine="640" w:firstLineChars="200"/>
        <w:rPr>
          <w:rFonts w:ascii="仿宋" w:hAnsi="仿宋" w:eastAsia="仿宋"/>
          <w:sz w:val="32"/>
          <w:szCs w:val="32"/>
        </w:rPr>
      </w:pPr>
      <w:r>
        <w:rPr>
          <w:rFonts w:hint="eastAsia" w:ascii="仿宋" w:hAnsi="仿宋" w:eastAsia="仿宋"/>
          <w:sz w:val="32"/>
          <w:szCs w:val="32"/>
        </w:rPr>
        <w:t>甲方不得出租、出借个人银行账户，不得利用个人银行账户套取银行信用，不得利用个人银行账户进行偷逃税款、逃废债务、套取现金、洗钱及其他违法犯罪活动。</w:t>
      </w:r>
    </w:p>
    <w:p>
      <w:pPr>
        <w:pStyle w:val="2"/>
        <w:numPr>
          <w:ilvl w:val="0"/>
          <w:numId w:val="1"/>
        </w:numPr>
        <w:tabs>
          <w:tab w:val="left" w:pos="0"/>
          <w:tab w:val="left" w:pos="1260"/>
          <w:tab w:val="left" w:pos="1680"/>
        </w:tabs>
        <w:spacing w:line="240" w:lineRule="atLeast"/>
        <w:ind w:left="0" w:firstLine="640" w:firstLineChars="200"/>
        <w:rPr>
          <w:rFonts w:ascii="仿宋" w:hAnsi="仿宋" w:eastAsia="仿宋"/>
          <w:sz w:val="32"/>
          <w:szCs w:val="32"/>
        </w:rPr>
      </w:pPr>
      <w:r>
        <w:rPr>
          <w:rFonts w:hint="eastAsia" w:ascii="仿宋" w:hAnsi="仿宋" w:eastAsia="仿宋"/>
          <w:sz w:val="32"/>
          <w:szCs w:val="32"/>
        </w:rPr>
        <w:t>乙方依法为甲方的个人银行账户的存款和有关资料保密。除国家法律另有规定外，乙方有权拒绝任何单位或个人查询。</w:t>
      </w:r>
    </w:p>
    <w:p>
      <w:pPr>
        <w:pStyle w:val="2"/>
        <w:numPr>
          <w:ilvl w:val="0"/>
          <w:numId w:val="1"/>
        </w:numPr>
        <w:tabs>
          <w:tab w:val="left" w:pos="0"/>
          <w:tab w:val="left" w:pos="1260"/>
          <w:tab w:val="left" w:pos="1680"/>
        </w:tabs>
        <w:spacing w:line="240" w:lineRule="atLeast"/>
        <w:ind w:left="0" w:firstLine="640" w:firstLineChars="200"/>
        <w:rPr>
          <w:rFonts w:ascii="仿宋" w:hAnsi="仿宋" w:eastAsia="仿宋"/>
          <w:sz w:val="32"/>
          <w:szCs w:val="32"/>
        </w:rPr>
      </w:pPr>
      <w:r>
        <w:rPr>
          <w:rFonts w:hint="eastAsia" w:ascii="仿宋" w:hAnsi="仿宋" w:eastAsia="仿宋"/>
          <w:sz w:val="32"/>
          <w:szCs w:val="32"/>
        </w:rPr>
        <w:t>乙方为甲方提供的各种服务、存款利率、收费项目和标准以乙</w:t>
      </w:r>
      <w:r>
        <w:rPr>
          <w:rFonts w:ascii="仿宋" w:hAnsi="仿宋" w:eastAsia="仿宋"/>
          <w:sz w:val="32"/>
          <w:szCs w:val="32"/>
        </w:rPr>
        <w:t>方网站公布或公告为准</w:t>
      </w:r>
      <w:r>
        <w:rPr>
          <w:rFonts w:hint="eastAsia" w:ascii="仿宋" w:hAnsi="仿宋" w:eastAsia="仿宋"/>
          <w:sz w:val="32"/>
          <w:szCs w:val="32"/>
        </w:rPr>
        <w:t>。</w:t>
      </w:r>
    </w:p>
    <w:p>
      <w:pPr>
        <w:pStyle w:val="2"/>
        <w:numPr>
          <w:ilvl w:val="0"/>
          <w:numId w:val="1"/>
        </w:numPr>
        <w:tabs>
          <w:tab w:val="left" w:pos="0"/>
          <w:tab w:val="left" w:pos="1260"/>
          <w:tab w:val="left" w:pos="1680"/>
        </w:tabs>
        <w:spacing w:line="240" w:lineRule="atLeast"/>
        <w:ind w:left="0" w:firstLine="640" w:firstLineChars="200"/>
        <w:rPr>
          <w:rFonts w:ascii="仿宋" w:hAnsi="仿宋" w:eastAsia="仿宋"/>
          <w:sz w:val="32"/>
          <w:szCs w:val="32"/>
        </w:rPr>
      </w:pPr>
      <w:r>
        <w:rPr>
          <w:rFonts w:hint="eastAsia" w:ascii="仿宋" w:hAnsi="仿宋" w:eastAsia="仿宋"/>
          <w:sz w:val="32"/>
          <w:szCs w:val="32"/>
        </w:rPr>
        <w:t>乙方有权按照法律规定及监管要求，对甲方的交易方式、交易规模、交易频率等实施合理限制，</w:t>
      </w:r>
      <w:r>
        <w:rPr>
          <w:rFonts w:ascii="仿宋" w:hAnsi="仿宋" w:eastAsia="仿宋"/>
          <w:sz w:val="32"/>
          <w:szCs w:val="32"/>
        </w:rPr>
        <w:t>甚至关</w:t>
      </w:r>
      <w:r>
        <w:rPr>
          <w:rFonts w:hint="eastAsia" w:ascii="仿宋" w:hAnsi="仿宋" w:eastAsia="仿宋"/>
          <w:sz w:val="32"/>
          <w:szCs w:val="32"/>
        </w:rPr>
        <w:t>停甲方的银行账户。</w:t>
      </w:r>
    </w:p>
    <w:p>
      <w:pPr>
        <w:pStyle w:val="2"/>
        <w:numPr>
          <w:ilvl w:val="0"/>
          <w:numId w:val="1"/>
        </w:numPr>
        <w:tabs>
          <w:tab w:val="left" w:pos="0"/>
          <w:tab w:val="left" w:pos="1260"/>
          <w:tab w:val="left" w:pos="1680"/>
        </w:tabs>
        <w:spacing w:line="240" w:lineRule="atLeast"/>
        <w:ind w:left="0" w:firstLine="643" w:firstLineChars="200"/>
        <w:rPr>
          <w:rFonts w:ascii="仿宋" w:hAnsi="仿宋" w:eastAsia="仿宋"/>
          <w:b/>
          <w:bCs/>
          <w:sz w:val="32"/>
          <w:szCs w:val="32"/>
        </w:rPr>
      </w:pPr>
      <w:r>
        <w:rPr>
          <w:rFonts w:hint="eastAsia" w:ascii="仿宋" w:hAnsi="仿宋" w:eastAsia="仿宋"/>
          <w:b/>
          <w:bCs/>
          <w:sz w:val="32"/>
          <w:szCs w:val="32"/>
        </w:rPr>
        <w:t>对于</w:t>
      </w:r>
      <w:r>
        <w:rPr>
          <w:rFonts w:hint="eastAsia" w:ascii="仿宋_GB2312" w:eastAsia="仿宋_GB2312"/>
          <w:b/>
          <w:bCs/>
          <w:sz w:val="32"/>
          <w:szCs w:val="32"/>
        </w:rPr>
        <w:t>三年以上（含）</w:t>
      </w:r>
      <w:r>
        <w:rPr>
          <w:rFonts w:hint="eastAsia" w:ascii="仿宋" w:hAnsi="仿宋" w:eastAsia="仿宋"/>
          <w:b/>
          <w:bCs/>
          <w:sz w:val="32"/>
          <w:szCs w:val="32"/>
        </w:rPr>
        <w:t>没有交易、主账户及子账户存款余额为0且没有其他关联业务的结算账户，视同甲方自愿销户。</w:t>
      </w:r>
    </w:p>
    <w:p>
      <w:pPr>
        <w:pStyle w:val="2"/>
        <w:numPr>
          <w:ilvl w:val="0"/>
          <w:numId w:val="1"/>
        </w:numPr>
        <w:tabs>
          <w:tab w:val="left" w:pos="0"/>
          <w:tab w:val="left" w:pos="1260"/>
          <w:tab w:val="left" w:pos="1680"/>
        </w:tabs>
        <w:spacing w:line="240" w:lineRule="atLeast"/>
        <w:ind w:left="0" w:firstLine="640" w:firstLineChars="200"/>
        <w:rPr>
          <w:rFonts w:ascii="仿宋" w:hAnsi="仿宋" w:eastAsia="仿宋"/>
          <w:sz w:val="32"/>
          <w:szCs w:val="32"/>
        </w:rPr>
      </w:pPr>
      <w:r>
        <w:rPr>
          <w:rFonts w:hint="eastAsia" w:ascii="仿宋" w:hAnsi="仿宋" w:eastAsia="仿宋"/>
          <w:sz w:val="32"/>
          <w:szCs w:val="32"/>
        </w:rPr>
        <w:t>甲方授权乙方可基于业务办理及开展风险管理的需要，收集、传输、加工、保存、查询和使用客户信息（包括但不限于身份信息、账户信息、人脸图像、指纹、交易信息等）。双方业务关系终止后，乙方将严格依照法律法规的规定，保存和处理客户信息。</w:t>
      </w:r>
    </w:p>
    <w:p>
      <w:pPr>
        <w:pStyle w:val="2"/>
        <w:numPr>
          <w:ilvl w:val="0"/>
          <w:numId w:val="1"/>
        </w:numPr>
        <w:tabs>
          <w:tab w:val="left" w:pos="0"/>
          <w:tab w:val="left" w:pos="1260"/>
          <w:tab w:val="left" w:pos="1680"/>
        </w:tabs>
        <w:spacing w:line="240" w:lineRule="atLeast"/>
        <w:ind w:left="0" w:firstLine="640" w:firstLineChars="200"/>
        <w:rPr>
          <w:rFonts w:ascii="仿宋" w:hAnsi="仿宋" w:eastAsia="仿宋"/>
          <w:b/>
          <w:bCs/>
          <w:sz w:val="32"/>
          <w:szCs w:val="32"/>
        </w:rPr>
      </w:pPr>
      <w:r>
        <w:rPr>
          <w:rFonts w:hint="eastAsia" w:ascii="仿宋" w:hAnsi="仿宋" w:eastAsia="仿宋"/>
          <w:sz w:val="32"/>
          <w:szCs w:val="32"/>
          <w:lang w:eastAsia="zh-CN"/>
        </w:rPr>
        <w:t>甲方预留的电话号码应当与个人身份证号码一</w:t>
      </w:r>
      <w:r>
        <w:rPr>
          <w:rFonts w:hint="eastAsia" w:ascii="仿宋" w:hAnsi="仿宋" w:eastAsia="仿宋"/>
          <w:sz w:val="32"/>
          <w:szCs w:val="32"/>
          <w:lang w:val="en-US" w:eastAsia="zh-CN"/>
        </w:rPr>
        <w:t xml:space="preserve"> 一对应，对多人使用同一联系电话号码开立和使用账户的情况，乙方有权进行排查清理，并联系甲方进行确认。</w:t>
      </w:r>
      <w:r>
        <w:rPr>
          <w:rFonts w:hint="eastAsia" w:ascii="仿宋" w:hAnsi="仿宋" w:eastAsia="仿宋"/>
          <w:b/>
          <w:bCs/>
          <w:sz w:val="32"/>
          <w:szCs w:val="32"/>
          <w:lang w:val="en-US" w:eastAsia="zh-CN"/>
        </w:rPr>
        <w:t>对于无法证明合理性的，乙方有权对相关银行账户暂停非柜面业务。</w:t>
      </w:r>
    </w:p>
    <w:p>
      <w:pPr>
        <w:pStyle w:val="2"/>
        <w:numPr>
          <w:ilvl w:val="0"/>
          <w:numId w:val="1"/>
        </w:numPr>
        <w:tabs>
          <w:tab w:val="left" w:pos="0"/>
          <w:tab w:val="left" w:pos="1260"/>
          <w:tab w:val="left" w:pos="1680"/>
        </w:tabs>
        <w:spacing w:line="240" w:lineRule="atLeast"/>
        <w:ind w:left="0" w:firstLine="640" w:firstLineChars="200"/>
        <w:rPr>
          <w:rFonts w:ascii="仿宋" w:hAnsi="仿宋" w:eastAsia="仿宋"/>
          <w:b/>
          <w:bCs/>
          <w:sz w:val="32"/>
          <w:szCs w:val="32"/>
        </w:rPr>
      </w:pPr>
      <w:r>
        <w:rPr>
          <w:rFonts w:hint="eastAsia" w:ascii="仿宋" w:hAnsi="仿宋" w:eastAsia="仿宋"/>
          <w:sz w:val="32"/>
          <w:szCs w:val="32"/>
          <w:lang w:eastAsia="zh-CN"/>
        </w:rPr>
        <w:t>乙方发现甲方账户存在大量转入转出交易的，有权对甲方的交易背景进行调查。</w:t>
      </w:r>
      <w:r>
        <w:rPr>
          <w:rFonts w:hint="eastAsia" w:ascii="仿宋" w:hAnsi="仿宋" w:eastAsia="仿宋"/>
          <w:b/>
          <w:bCs/>
          <w:sz w:val="32"/>
          <w:szCs w:val="32"/>
          <w:lang w:eastAsia="zh-CN"/>
        </w:rPr>
        <w:t>如发现存在异常的，乙方有权按照审慎原则自行调整向甲方提供的相关服务，包括但不限于调整甲方转出笔数及转出单笔限额等。</w:t>
      </w:r>
    </w:p>
    <w:p>
      <w:pPr>
        <w:pStyle w:val="2"/>
        <w:numPr>
          <w:ilvl w:val="0"/>
          <w:numId w:val="1"/>
        </w:numPr>
        <w:tabs>
          <w:tab w:val="left" w:pos="0"/>
          <w:tab w:val="left" w:pos="1260"/>
          <w:tab w:val="left" w:pos="1680"/>
        </w:tabs>
        <w:spacing w:line="240" w:lineRule="atLeast"/>
        <w:ind w:left="0" w:firstLine="640" w:firstLineChars="200"/>
        <w:rPr>
          <w:rFonts w:ascii="仿宋" w:hAnsi="仿宋" w:eastAsia="仿宋"/>
          <w:b/>
          <w:bCs/>
          <w:sz w:val="32"/>
          <w:szCs w:val="32"/>
        </w:rPr>
      </w:pPr>
      <w:r>
        <w:rPr>
          <w:rFonts w:hint="eastAsia" w:ascii="仿宋" w:hAnsi="仿宋" w:eastAsia="仿宋"/>
          <w:sz w:val="32"/>
          <w:szCs w:val="32"/>
          <w:lang w:eastAsia="zh-CN"/>
        </w:rPr>
        <w:t>乙方有权将账户及其资金划转具有集中转入分散转出、</w:t>
      </w:r>
      <w:r>
        <w:rPr>
          <w:rFonts w:hint="eastAsia" w:ascii="仿宋" w:hAnsi="仿宋" w:eastAsia="仿宋" w:cs="Times New Roman"/>
          <w:color w:val="auto"/>
          <w:sz w:val="32"/>
          <w:szCs w:val="32"/>
        </w:rPr>
        <w:t>资金快进快出具有明显过渡性质</w:t>
      </w:r>
      <w:r>
        <w:rPr>
          <w:rFonts w:hint="eastAsia" w:ascii="仿宋" w:hAnsi="仿宋" w:eastAsia="仿宋"/>
          <w:sz w:val="32"/>
          <w:szCs w:val="32"/>
          <w:lang w:eastAsia="zh-CN"/>
        </w:rPr>
        <w:t>等可疑交易特征的列入可疑交易。</w:t>
      </w:r>
      <w:r>
        <w:rPr>
          <w:rFonts w:hint="eastAsia" w:ascii="仿宋" w:hAnsi="仿宋" w:eastAsia="仿宋"/>
          <w:b/>
          <w:bCs/>
          <w:sz w:val="32"/>
          <w:szCs w:val="32"/>
          <w:lang w:eastAsia="zh-CN"/>
        </w:rPr>
        <w:t>对于可疑交易的账户，乙方有权向甲方核实交易情况；经核实后仍然认定账户可疑的，乙方有权管控其业务，并按照法律法规</w:t>
      </w:r>
      <w:bookmarkStart w:id="0" w:name="_GoBack"/>
      <w:bookmarkEnd w:id="0"/>
      <w:r>
        <w:rPr>
          <w:rFonts w:hint="eastAsia" w:ascii="仿宋" w:hAnsi="仿宋" w:eastAsia="仿宋"/>
          <w:b/>
          <w:bCs/>
          <w:sz w:val="32"/>
          <w:szCs w:val="32"/>
          <w:lang w:eastAsia="zh-CN"/>
        </w:rPr>
        <w:t>向有权机关报送交易报告或者重点可疑交易报告。</w:t>
      </w:r>
    </w:p>
    <w:p>
      <w:pPr>
        <w:pStyle w:val="2"/>
        <w:numPr>
          <w:ilvl w:val="0"/>
          <w:numId w:val="1"/>
        </w:numPr>
        <w:tabs>
          <w:tab w:val="left" w:pos="0"/>
          <w:tab w:val="left" w:pos="1260"/>
          <w:tab w:val="left" w:pos="1680"/>
        </w:tabs>
        <w:spacing w:line="240" w:lineRule="atLeast"/>
        <w:ind w:left="0" w:firstLine="643" w:firstLineChars="200"/>
        <w:rPr>
          <w:rFonts w:ascii="仿宋" w:hAnsi="仿宋" w:eastAsia="仿宋"/>
          <w:b/>
          <w:bCs/>
          <w:sz w:val="32"/>
          <w:szCs w:val="32"/>
        </w:rPr>
      </w:pPr>
      <w:r>
        <w:rPr>
          <w:rFonts w:hint="eastAsia" w:ascii="仿宋" w:hAnsi="仿宋" w:eastAsia="仿宋"/>
          <w:b/>
          <w:bCs/>
          <w:sz w:val="32"/>
          <w:szCs w:val="32"/>
          <w:lang w:eastAsia="zh-CN"/>
        </w:rPr>
        <w:t>乙方有权对甲方自开户之日起</w:t>
      </w:r>
      <w:r>
        <w:rPr>
          <w:rFonts w:hint="eastAsia" w:ascii="仿宋" w:hAnsi="仿宋" w:eastAsia="仿宋"/>
          <w:b/>
          <w:bCs/>
          <w:sz w:val="32"/>
          <w:szCs w:val="32"/>
          <w:lang w:val="en-US" w:eastAsia="zh-CN"/>
        </w:rPr>
        <w:t>6个月内无交易记录的账户进行暂停非柜面业务，有权向甲方重新核实身份，甲方应当配合。重新核实身份后，乙方恢复其账户。</w:t>
      </w:r>
    </w:p>
    <w:p>
      <w:pPr>
        <w:pStyle w:val="2"/>
        <w:numPr>
          <w:ilvl w:val="0"/>
          <w:numId w:val="1"/>
        </w:numPr>
        <w:tabs>
          <w:tab w:val="left" w:pos="0"/>
          <w:tab w:val="left" w:pos="1260"/>
          <w:tab w:val="left" w:pos="1680"/>
        </w:tabs>
        <w:spacing w:line="240" w:lineRule="atLeast"/>
        <w:ind w:left="0" w:firstLine="643" w:firstLineChars="200"/>
        <w:rPr>
          <w:rFonts w:ascii="仿宋" w:hAnsi="仿宋" w:eastAsia="仿宋"/>
          <w:b/>
          <w:bCs/>
          <w:sz w:val="32"/>
          <w:szCs w:val="32"/>
        </w:rPr>
      </w:pPr>
      <w:r>
        <w:rPr>
          <w:rFonts w:hint="eastAsia" w:ascii="仿宋" w:hAnsi="仿宋" w:eastAsia="仿宋"/>
          <w:b/>
          <w:bCs/>
          <w:sz w:val="32"/>
          <w:szCs w:val="32"/>
          <w:lang w:eastAsia="zh-CN"/>
        </w:rPr>
        <w:t>甲方预留在乙方的身份证件已过有效期，未在合理期限内更新且没有提出合理理由的，乙方有权中止为客户办理业务，直至甲方提供有效的身份证件为止。</w:t>
      </w:r>
    </w:p>
    <w:p>
      <w:pPr>
        <w:pStyle w:val="2"/>
        <w:numPr>
          <w:ilvl w:val="0"/>
          <w:numId w:val="1"/>
        </w:numPr>
        <w:tabs>
          <w:tab w:val="left" w:pos="0"/>
          <w:tab w:val="left" w:pos="1260"/>
          <w:tab w:val="left" w:pos="1680"/>
        </w:tabs>
        <w:spacing w:line="240" w:lineRule="atLeast"/>
        <w:ind w:left="0" w:firstLine="640" w:firstLineChars="200"/>
        <w:rPr>
          <w:rFonts w:ascii="仿宋" w:hAnsi="仿宋" w:eastAsia="仿宋"/>
          <w:sz w:val="32"/>
          <w:szCs w:val="32"/>
        </w:rPr>
      </w:pPr>
      <w:r>
        <w:rPr>
          <w:rFonts w:hint="eastAsia" w:ascii="仿宋" w:hAnsi="仿宋" w:eastAsia="仿宋"/>
          <w:sz w:val="32"/>
          <w:szCs w:val="32"/>
        </w:rPr>
        <w:t>本协议未尽事宜均依据中华人民共和国法律、行政法规、人民银行及银行业监督机关的有关规章、政策规定及金融业的行业惯例办理。甲、方双方在履行合约时发生的争议，由双方协商处理；协商不成，可向乙方住所地有管辖权的人民法院提起诉讼。在诉讼期间，本协议不涉及争议部分的条款仍须履行。</w:t>
      </w:r>
    </w:p>
    <w:p>
      <w:pPr>
        <w:pStyle w:val="2"/>
        <w:numPr>
          <w:ilvl w:val="0"/>
          <w:numId w:val="1"/>
        </w:numPr>
        <w:tabs>
          <w:tab w:val="left" w:pos="0"/>
          <w:tab w:val="left" w:pos="1260"/>
          <w:tab w:val="left" w:pos="1680"/>
        </w:tabs>
        <w:spacing w:line="240" w:lineRule="atLeast"/>
        <w:ind w:left="0" w:firstLine="640" w:firstLineChars="200"/>
        <w:rPr>
          <w:rFonts w:ascii="仿宋" w:hAnsi="仿宋" w:eastAsia="仿宋"/>
          <w:sz w:val="32"/>
          <w:szCs w:val="32"/>
        </w:rPr>
      </w:pPr>
      <w:r>
        <w:rPr>
          <w:rFonts w:hint="eastAsia" w:ascii="仿宋" w:hAnsi="仿宋" w:eastAsia="仿宋"/>
          <w:sz w:val="32"/>
          <w:szCs w:val="32"/>
        </w:rPr>
        <w:t>本协议一式两份，双方各执一份；本协议由双方签字盖章后生效，自正式销户之日起，本协议自动终止。</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hint="default" w:eastAsiaTheme="minorEastAsia"/>
        <w:lang w:val="en-US" w:eastAsia="zh-CN"/>
      </w:rPr>
    </w:pPr>
    <w:r>
      <w:rPr>
        <w:rFonts w:hint="eastAsia"/>
        <w:lang w:eastAsia="zh-CN"/>
      </w:rPr>
      <w:t>第一版（</w:t>
    </w:r>
    <w:r>
      <w:rPr>
        <w:rFonts w:hint="eastAsia"/>
        <w:lang w:val="en-US" w:eastAsia="zh-CN"/>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8C145D"/>
    <w:multiLevelType w:val="multilevel"/>
    <w:tmpl w:val="7E8C145D"/>
    <w:lvl w:ilvl="0" w:tentative="0">
      <w:start w:val="1"/>
      <w:numFmt w:val="chineseCountingThousand"/>
      <w:lvlText w:val="第%1条"/>
      <w:lvlJc w:val="left"/>
      <w:pPr>
        <w:ind w:left="420" w:hanging="420"/>
      </w:pPr>
      <w:rPr>
        <w:rFonts w:hint="eastAsia" w:ascii="仿宋_GB2312" w:hAnsi="华文细黑" w:eastAsia="仿宋_GB2312"/>
        <w:b/>
        <w:i w:val="0"/>
        <w:color w:val="auto"/>
        <w:sz w:val="32"/>
        <w:szCs w:val="32"/>
        <w:lang w:val="en-US"/>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D8E"/>
    <w:rsid w:val="00035615"/>
    <w:rsid w:val="001515CF"/>
    <w:rsid w:val="003015E2"/>
    <w:rsid w:val="003B38AA"/>
    <w:rsid w:val="00504EF5"/>
    <w:rsid w:val="00525DC6"/>
    <w:rsid w:val="0064100B"/>
    <w:rsid w:val="00795C07"/>
    <w:rsid w:val="00935F75"/>
    <w:rsid w:val="00A44356"/>
    <w:rsid w:val="00A44779"/>
    <w:rsid w:val="00C03D8E"/>
    <w:rsid w:val="00CB379A"/>
    <w:rsid w:val="00D76A9D"/>
    <w:rsid w:val="00F60B57"/>
    <w:rsid w:val="081631E8"/>
    <w:rsid w:val="101B0899"/>
    <w:rsid w:val="164C1517"/>
    <w:rsid w:val="1F7275E9"/>
    <w:rsid w:val="251B2036"/>
    <w:rsid w:val="283B2D53"/>
    <w:rsid w:val="2DE351DA"/>
    <w:rsid w:val="35163A8B"/>
    <w:rsid w:val="403063B6"/>
    <w:rsid w:val="61083D1D"/>
    <w:rsid w:val="7A022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unhideWhenUsed/>
    <w:uiPriority w:val="0"/>
    <w:rPr>
      <w:rFonts w:ascii="宋体" w:hAnsi="Courier New" w:eastAsia="宋体" w:cs="Times New Roman"/>
      <w:szCs w:val="20"/>
    </w:rPr>
  </w:style>
  <w:style w:type="paragraph" w:styleId="3">
    <w:name w:val="Balloon Text"/>
    <w:basedOn w:val="1"/>
    <w:link w:val="13"/>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semiHidden/>
    <w:unhideWhenUsed/>
    <w:qFormat/>
    <w:uiPriority w:val="99"/>
    <w:rPr>
      <w:color w:val="666666"/>
      <w:u w:val="none"/>
    </w:rPr>
  </w:style>
  <w:style w:type="character" w:styleId="9">
    <w:name w:val="Hyperlink"/>
    <w:basedOn w:val="7"/>
    <w:semiHidden/>
    <w:unhideWhenUsed/>
    <w:qFormat/>
    <w:uiPriority w:val="99"/>
    <w:rPr>
      <w:color w:val="333333"/>
      <w:u w:val="none"/>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纯文本 Char"/>
    <w:basedOn w:val="7"/>
    <w:link w:val="2"/>
    <w:qFormat/>
    <w:uiPriority w:val="0"/>
    <w:rPr>
      <w:rFonts w:ascii="宋体" w:hAnsi="Courier New" w:eastAsia="宋体" w:cs="Times New Roman"/>
      <w:szCs w:val="20"/>
    </w:rPr>
  </w:style>
  <w:style w:type="character" w:customStyle="1" w:styleId="13">
    <w:name w:val="批注框文本 Char"/>
    <w:basedOn w:val="7"/>
    <w:link w:val="3"/>
    <w:semiHidden/>
    <w:qFormat/>
    <w:uiPriority w:val="99"/>
    <w:rPr>
      <w:sz w:val="18"/>
      <w:szCs w:val="18"/>
    </w:rPr>
  </w:style>
  <w:style w:type="character" w:customStyle="1" w:styleId="14">
    <w:name w:val="over"/>
    <w:basedOn w:val="7"/>
    <w:qFormat/>
    <w:uiPriority w:val="0"/>
    <w:rPr>
      <w:shd w:val="clear" w:fill="3F82BE"/>
    </w:rPr>
  </w:style>
  <w:style w:type="character" w:customStyle="1" w:styleId="15">
    <w:name w:val="before"/>
    <w:basedOn w:val="7"/>
    <w:qFormat/>
    <w:uiPriority w:val="0"/>
  </w:style>
  <w:style w:type="character" w:customStyle="1" w:styleId="16">
    <w:name w:val="hover16"/>
    <w:basedOn w:val="7"/>
    <w:qFormat/>
    <w:uiPriority w:val="0"/>
    <w:rPr>
      <w:color w:val="FF6600"/>
      <w:bdr w:val="single" w:color="DDDDDD" w:sz="6" w:space="0"/>
      <w:shd w:val="clear" w:fill="FFFFFF"/>
    </w:rPr>
  </w:style>
  <w:style w:type="character" w:customStyle="1" w:styleId="17">
    <w:name w:val="selallcontain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160</Words>
  <Characters>918</Characters>
  <Lines>7</Lines>
  <Paragraphs>2</Paragraphs>
  <TotalTime>4853</TotalTime>
  <ScaleCrop>false</ScaleCrop>
  <LinksUpToDate>false</LinksUpToDate>
  <CharactersWithSpaces>1076</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2020-05-19T01:44:00Z</dcterms:created>
  <dc:creator>张丽娜</dc:creator>
  <cp:lastModifiedBy>zhanglina1</cp:lastModifiedBy>
  <dcterms:modified xsi:type="dcterms:W3CDTF">2025-12-01T06:06:00Z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4B150566069D44C68667EBADA4150CDD</vt:lpwstr>
  </property>
</Properties>
</file>