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关于广东华润银行理财产品启用新版销售文件（202609版）的公告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结合最新金融监管法规及业务需求</w:t>
      </w:r>
      <w:r>
        <w:rPr>
          <w:rFonts w:hint="default"/>
          <w:sz w:val="24"/>
          <w:szCs w:val="24"/>
          <w:lang w:val="en-US"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本行对以下理财产品的销售文件相关条款进行修订更新：</w:t>
      </w:r>
    </w:p>
    <w:tbl>
      <w:tblPr>
        <w:tblStyle w:val="3"/>
        <w:tblW w:w="8280" w:type="dxa"/>
        <w:tblInd w:w="1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4"/>
        <w:gridCol w:w="57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57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产品名称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广东华润银行润日升理财产品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日日润金人民币理财计划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广东</w:t>
            </w:r>
            <w:r>
              <w:rPr>
                <w:rFonts w:hint="default"/>
                <w:vertAlign w:val="baseline"/>
                <w:lang w:val="en-US" w:eastAsia="zh-CN"/>
              </w:rPr>
              <w:t>华润银行润泽共赢稳健14天理财产品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广东</w:t>
            </w:r>
            <w:r>
              <w:rPr>
                <w:rFonts w:hint="default"/>
                <w:vertAlign w:val="baseline"/>
                <w:lang w:val="en-US" w:eastAsia="zh-CN"/>
              </w:rPr>
              <w:t>华润银行润泽共赢稳健</w:t>
            </w:r>
            <w:r>
              <w:rPr>
                <w:rFonts w:hint="eastAsia"/>
                <w:vertAlign w:val="baseline"/>
                <w:lang w:val="en-US" w:eastAsia="zh-CN"/>
              </w:rPr>
              <w:t>35</w:t>
            </w:r>
            <w:r>
              <w:rPr>
                <w:rFonts w:hint="default"/>
                <w:vertAlign w:val="baseline"/>
                <w:lang w:val="en-US" w:eastAsia="zh-CN"/>
              </w:rPr>
              <w:t>天理财产品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广东</w:t>
            </w:r>
            <w:r>
              <w:rPr>
                <w:rFonts w:hint="default"/>
                <w:vertAlign w:val="baseline"/>
                <w:lang w:val="en-US" w:eastAsia="zh-CN"/>
              </w:rPr>
              <w:t>华润银行润泽共赢稳健</w:t>
            </w:r>
            <w:r>
              <w:rPr>
                <w:rFonts w:hint="eastAsia"/>
                <w:vertAlign w:val="baseline"/>
                <w:lang w:val="en-US" w:eastAsia="zh-CN"/>
              </w:rPr>
              <w:t>63</w:t>
            </w:r>
            <w:r>
              <w:rPr>
                <w:rFonts w:hint="default"/>
                <w:vertAlign w:val="baseline"/>
                <w:lang w:val="en-US" w:eastAsia="zh-CN"/>
              </w:rPr>
              <w:t>天理财产品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广东</w:t>
            </w:r>
            <w:r>
              <w:rPr>
                <w:rFonts w:hint="default"/>
                <w:vertAlign w:val="baseline"/>
                <w:lang w:val="en-US" w:eastAsia="zh-CN"/>
              </w:rPr>
              <w:t>华润银行润泽共赢稳健</w:t>
            </w:r>
            <w:r>
              <w:rPr>
                <w:rFonts w:hint="eastAsia"/>
                <w:vertAlign w:val="baseline"/>
                <w:lang w:val="en-US" w:eastAsia="zh-CN"/>
              </w:rPr>
              <w:t>98</w:t>
            </w:r>
            <w:r>
              <w:rPr>
                <w:rFonts w:hint="default"/>
                <w:vertAlign w:val="baseline"/>
                <w:lang w:val="en-US" w:eastAsia="zh-CN"/>
              </w:rPr>
              <w:t>天理财产品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广东</w:t>
            </w:r>
            <w:r>
              <w:rPr>
                <w:rFonts w:hint="default"/>
                <w:vertAlign w:val="baseline"/>
                <w:lang w:val="en-US" w:eastAsia="zh-CN"/>
              </w:rPr>
              <w:t>华润银行润泽共赢稳健1</w:t>
            </w:r>
            <w:r>
              <w:rPr>
                <w:rFonts w:hint="eastAsia"/>
                <w:vertAlign w:val="baseline"/>
                <w:lang w:val="en-US" w:eastAsia="zh-CN"/>
              </w:rPr>
              <w:t>19</w:t>
            </w:r>
            <w:r>
              <w:rPr>
                <w:rFonts w:hint="default"/>
                <w:vertAlign w:val="baseline"/>
                <w:lang w:val="en-US" w:eastAsia="zh-CN"/>
              </w:rPr>
              <w:t>天理财产品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广东</w:t>
            </w:r>
            <w:r>
              <w:rPr>
                <w:rFonts w:hint="default"/>
                <w:vertAlign w:val="baseline"/>
                <w:lang w:val="en-US" w:eastAsia="zh-CN"/>
              </w:rPr>
              <w:t>华润银行润泽共赢稳健1</w:t>
            </w:r>
            <w:r>
              <w:rPr>
                <w:rFonts w:hint="eastAsia"/>
                <w:vertAlign w:val="baseline"/>
                <w:lang w:val="en-US" w:eastAsia="zh-CN"/>
              </w:rPr>
              <w:t>54</w:t>
            </w:r>
            <w:r>
              <w:rPr>
                <w:rFonts w:hint="default"/>
                <w:vertAlign w:val="baseline"/>
                <w:lang w:val="en-US" w:eastAsia="zh-CN"/>
              </w:rPr>
              <w:t>天理财产品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广东</w:t>
            </w:r>
            <w:r>
              <w:rPr>
                <w:rFonts w:hint="default"/>
                <w:vertAlign w:val="baseline"/>
                <w:lang w:val="en-US" w:eastAsia="zh-CN"/>
              </w:rPr>
              <w:t>华润银行润泽共赢稳健1</w:t>
            </w:r>
            <w:r>
              <w:rPr>
                <w:rFonts w:hint="eastAsia"/>
                <w:vertAlign w:val="baseline"/>
                <w:lang w:val="en-US" w:eastAsia="zh-CN"/>
              </w:rPr>
              <w:t>82</w:t>
            </w:r>
            <w:r>
              <w:rPr>
                <w:rFonts w:hint="default"/>
                <w:vertAlign w:val="baseline"/>
                <w:lang w:val="en-US" w:eastAsia="zh-CN"/>
              </w:rPr>
              <w:t>天理财产品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广东</w:t>
            </w:r>
            <w:r>
              <w:rPr>
                <w:rFonts w:hint="default"/>
                <w:vertAlign w:val="baseline"/>
                <w:lang w:val="en-US" w:eastAsia="zh-CN"/>
              </w:rPr>
              <w:t>华润银行润泽共赢稳健</w:t>
            </w:r>
            <w:r>
              <w:rPr>
                <w:rFonts w:hint="eastAsia"/>
                <w:vertAlign w:val="baseline"/>
                <w:lang w:val="en-US" w:eastAsia="zh-CN"/>
              </w:rPr>
              <w:t>273</w:t>
            </w:r>
            <w:r>
              <w:rPr>
                <w:rFonts w:hint="default"/>
                <w:vertAlign w:val="baseline"/>
                <w:lang w:val="en-US" w:eastAsia="zh-CN"/>
              </w:rPr>
              <w:t>天理财产品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7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广东</w:t>
            </w:r>
            <w:r>
              <w:rPr>
                <w:rFonts w:hint="default"/>
                <w:vertAlign w:val="baseline"/>
                <w:lang w:val="en-US" w:eastAsia="zh-CN"/>
              </w:rPr>
              <w:t>华润银行润泽共赢稳健</w:t>
            </w:r>
            <w:r>
              <w:rPr>
                <w:rFonts w:hint="eastAsia"/>
                <w:vertAlign w:val="baseline"/>
                <w:lang w:val="en-US" w:eastAsia="zh-CN"/>
              </w:rPr>
              <w:t>364</w:t>
            </w:r>
            <w:r>
              <w:rPr>
                <w:rFonts w:hint="default"/>
                <w:vertAlign w:val="baseline"/>
                <w:lang w:val="en-US" w:eastAsia="zh-CN"/>
              </w:rPr>
              <w:t>天理财产品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销售文件包括产品说明书、风险揭示书、投资者权益须知、销售协议书。每份文件修订详情如下：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产品说明书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主要增加“风险提示”、修改“信息披露”等内容。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风险揭示书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主要增加“风险控制措施”、修改“客户确认栏”等内容。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投资者权益须知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主要修改“风险承受能力评估”等内容。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销售协议书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主要修改“约定信息披露途径”等内容。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本次销售文件的变更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不涉及产品代码、产品登记编码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投资策略、风险等级、费率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产品要素，对投资者权益无实质性影响。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新版销售文件将于2026年9月2日正式启用。如您对新版销售文件有疑问，可到本行各营业网点咨询，也可致电本行24小时客户服务热线96588(广东省外请加拨0756)或4008800338咨询，或联系理财经理咨询。如您对新版销售文件有异议，可选择赎回或份额周期到期后不再持有。如您继续持有，视为已充分知晓并同意接受修订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请登录我行手机银行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/网银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查阅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新版销售文件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，或联系理财经理咨询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感谢您对本行理财产品的关注与支持！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广东华润银行股份有限公司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2026年8月28日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01E00C"/>
    <w:multiLevelType w:val="singleLevel"/>
    <w:tmpl w:val="3501E00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2765F3"/>
    <w:rsid w:val="2CF4252C"/>
    <w:rsid w:val="3473056E"/>
    <w:rsid w:val="3EA36282"/>
    <w:rsid w:val="4C0350D1"/>
    <w:rsid w:val="7ACA2EAA"/>
    <w:rsid w:val="7AFCA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2026-03-16T21:35:00Z</dcterms:created>
  <dc:creator>linaina1</dc:creator>
  <cp:lastModifiedBy>FANGYUKAI</cp:lastModifiedBy>
  <dcterms:modified xsi:type="dcterms:W3CDTF">2026-08-28T15:38:53Z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4643163CC735430CB3456365CD7868CD_12</vt:lpwstr>
  </property>
</Properties>
</file>