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9672C">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广东华润银行润悦1号第862期理财产品 </w:t>
      </w:r>
    </w:p>
    <w:p w14:paraId="3EA85FBE">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14:paraId="6A1FA507">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14:paraId="1A11EA94">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14:paraId="2D678317">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14:paraId="308B87D2">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14:paraId="38EC43D3">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14:paraId="12F3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94C66AB">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69859A7">
            <w:pPr>
              <w:jc w:val="left"/>
            </w:pPr>
            <w:r>
              <w:rPr>
                <w:rFonts w:ascii="微软雅黑" w:hAnsi="微软雅黑" w:eastAsia="微软雅黑" w:cs="微软雅黑"/>
                <w:b w:val="0"/>
                <w:i w:val="0"/>
                <w:strike w:val="0"/>
                <w:color w:val="000000"/>
                <w:sz w:val="24"/>
                <w:u w:val="none"/>
              </w:rPr>
              <w:t>润悦1号第862期</w:t>
            </w:r>
          </w:p>
        </w:tc>
      </w:tr>
      <w:tr w14:paraId="16F2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1C3F31B">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FED4AC5">
            <w:pPr>
              <w:jc w:val="left"/>
            </w:pPr>
            <w:r>
              <w:rPr>
                <w:rFonts w:ascii="微软雅黑" w:hAnsi="微软雅黑" w:eastAsia="微软雅黑" w:cs="微软雅黑"/>
                <w:b w:val="0"/>
                <w:i w:val="0"/>
                <w:strike w:val="0"/>
                <w:color w:val="000000"/>
                <w:sz w:val="24"/>
                <w:u w:val="none"/>
              </w:rPr>
              <w:t>RY10862</w:t>
            </w:r>
          </w:p>
        </w:tc>
      </w:tr>
      <w:tr w14:paraId="1B5A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6F6DE56">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6BC00B9">
            <w:pPr>
              <w:jc w:val="left"/>
            </w:pPr>
            <w:r>
              <w:rPr>
                <w:rFonts w:ascii="微软雅黑" w:hAnsi="微软雅黑" w:eastAsia="微软雅黑" w:cs="微软雅黑"/>
                <w:b w:val="0"/>
                <w:i w:val="0"/>
                <w:strike w:val="0"/>
                <w:color w:val="000000"/>
                <w:sz w:val="24"/>
                <w:u w:val="none"/>
              </w:rPr>
              <w:t>C1082925000170</w:t>
            </w:r>
          </w:p>
        </w:tc>
      </w:tr>
      <w:tr w14:paraId="4175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5E8815E">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44AF4EE">
            <w:pPr>
              <w:jc w:val="left"/>
            </w:pPr>
            <w:r>
              <w:rPr>
                <w:rFonts w:ascii="微软雅黑" w:hAnsi="微软雅黑" w:eastAsia="微软雅黑" w:cs="微软雅黑"/>
                <w:b w:val="0"/>
                <w:i w:val="0"/>
                <w:strike w:val="0"/>
                <w:color w:val="000000"/>
                <w:sz w:val="24"/>
                <w:u w:val="none"/>
              </w:rPr>
              <w:t>2025年11月12日</w:t>
            </w:r>
          </w:p>
        </w:tc>
      </w:tr>
      <w:tr w14:paraId="7967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886DC31">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C6753AA">
            <w:pPr>
              <w:jc w:val="left"/>
            </w:pPr>
            <w:r>
              <w:rPr>
                <w:rFonts w:ascii="微软雅黑" w:hAnsi="微软雅黑" w:eastAsia="微软雅黑" w:cs="微软雅黑"/>
                <w:b w:val="0"/>
                <w:i w:val="0"/>
                <w:strike w:val="0"/>
                <w:color w:val="000000"/>
                <w:sz w:val="24"/>
                <w:u w:val="none"/>
              </w:rPr>
              <w:t>2.55%-3.65%</w:t>
            </w:r>
          </w:p>
        </w:tc>
      </w:tr>
      <w:tr w14:paraId="2E68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4EE54B6">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9F0BC67">
            <w:pPr>
              <w:jc w:val="left"/>
            </w:pPr>
            <w:r>
              <w:rPr>
                <w:rFonts w:ascii="微软雅黑" w:hAnsi="微软雅黑" w:eastAsia="微软雅黑" w:cs="微软雅黑"/>
                <w:b w:val="0"/>
                <w:i w:val="0"/>
                <w:strike w:val="0"/>
                <w:color w:val="000000"/>
                <w:sz w:val="24"/>
                <w:u w:val="none"/>
              </w:rPr>
              <w:t>二级(中低)</w:t>
            </w:r>
          </w:p>
        </w:tc>
      </w:tr>
      <w:tr w14:paraId="6738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86472D2">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7EBBDC4">
            <w:pPr>
              <w:jc w:val="left"/>
            </w:pPr>
            <w:r>
              <w:rPr>
                <w:rFonts w:ascii="微软雅黑" w:hAnsi="微软雅黑" w:eastAsia="微软雅黑" w:cs="微软雅黑"/>
                <w:b w:val="0"/>
                <w:i w:val="0"/>
                <w:strike w:val="0"/>
                <w:color w:val="000000"/>
                <w:sz w:val="24"/>
                <w:u w:val="none"/>
              </w:rPr>
              <w:t>28,999,000.00</w:t>
            </w:r>
          </w:p>
        </w:tc>
      </w:tr>
      <w:tr w14:paraId="2C85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814A7C0">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5003B44">
            <w:pPr>
              <w:jc w:val="left"/>
            </w:pPr>
            <w:r>
              <w:rPr>
                <w:rFonts w:ascii="微软雅黑" w:hAnsi="微软雅黑" w:eastAsia="微软雅黑" w:cs="微软雅黑"/>
                <w:b w:val="0"/>
                <w:i w:val="0"/>
                <w:strike w:val="0"/>
                <w:color w:val="000000"/>
                <w:sz w:val="24"/>
                <w:u w:val="none"/>
              </w:rPr>
              <w:t>广东华润银行股份有限公司</w:t>
            </w:r>
          </w:p>
        </w:tc>
      </w:tr>
      <w:tr w14:paraId="647A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54AF9F5">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B842453">
            <w:pPr>
              <w:jc w:val="left"/>
            </w:pPr>
            <w:r>
              <w:rPr>
                <w:rFonts w:ascii="微软雅黑" w:hAnsi="微软雅黑" w:eastAsia="微软雅黑" w:cs="微软雅黑"/>
                <w:b w:val="0"/>
                <w:i w:val="0"/>
                <w:strike w:val="0"/>
                <w:color w:val="000000"/>
                <w:sz w:val="24"/>
                <w:u w:val="none"/>
              </w:rPr>
              <w:t>宁波银行股份有限公司</w:t>
            </w:r>
          </w:p>
        </w:tc>
      </w:tr>
      <w:tr w14:paraId="252B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F1362C3">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F745463">
            <w:pPr>
              <w:jc w:val="left"/>
            </w:pPr>
            <w:r>
              <w:rPr>
                <w:rFonts w:ascii="微软雅黑" w:hAnsi="微软雅黑" w:eastAsia="微软雅黑" w:cs="微软雅黑"/>
                <w:b w:val="0"/>
                <w:i w:val="0"/>
                <w:strike w:val="0"/>
                <w:color w:val="000000"/>
                <w:sz w:val="24"/>
                <w:u w:val="none"/>
              </w:rPr>
              <w:t>100.55%</w:t>
            </w:r>
          </w:p>
        </w:tc>
      </w:tr>
    </w:tbl>
    <w:p w14:paraId="501A26D2">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14:paraId="0FA8C1E8">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14:paraId="265B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14:paraId="7545F741">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14:paraId="0A1AAE93">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14:paraId="749D9295">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14:paraId="6DEF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14:paraId="130606F0">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14:paraId="371E842B">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29,593,921.81</w:t>
            </w:r>
          </w:p>
        </w:tc>
      </w:tr>
      <w:tr w14:paraId="54DB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14:paraId="0F3757C1">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14:paraId="7D9620AD">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1.02051525</w:t>
            </w:r>
          </w:p>
        </w:tc>
      </w:tr>
      <w:tr w14:paraId="4B2B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14:paraId="6981D912">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14:paraId="3F032CB2">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1.02051525</w:t>
            </w:r>
          </w:p>
        </w:tc>
      </w:tr>
    </w:tbl>
    <w:p w14:paraId="7C858B2D">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14:paraId="798F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14:paraId="2EC1CDD3">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14:paraId="23D97961">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14:paraId="025344A6">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14:paraId="79A2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14:paraId="75D45D03">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14:paraId="1432F8DF">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14:paraId="076441A7">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14:paraId="3961DFC0">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14:paraId="7C6F8AD5">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14:paraId="51DD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50A2E378">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14:paraId="24C0CBC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11,963.61</w:t>
            </w:r>
          </w:p>
        </w:tc>
        <w:tc>
          <w:tcPr>
            <w:tcW w:w="1501" w:type="dxa"/>
            <w:tcBorders>
              <w:top w:val="single" w:color="auto" w:sz="4" w:space="0"/>
              <w:left w:val="nil"/>
              <w:bottom w:val="single" w:color="auto" w:sz="4" w:space="0"/>
              <w:right w:val="single" w:color="auto" w:sz="4" w:space="0"/>
            </w:tcBorders>
            <w:vAlign w:val="bottom"/>
          </w:tcPr>
          <w:p w14:paraId="16B7D20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14:paraId="11900F0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29,743,344.12</w:t>
            </w:r>
          </w:p>
        </w:tc>
        <w:tc>
          <w:tcPr>
            <w:tcW w:w="1585" w:type="dxa"/>
            <w:tcBorders>
              <w:top w:val="single" w:color="auto" w:sz="4" w:space="0"/>
              <w:left w:val="nil"/>
              <w:bottom w:val="single" w:color="auto" w:sz="4" w:space="0"/>
              <w:right w:val="single" w:color="auto" w:sz="4" w:space="0"/>
            </w:tcBorders>
            <w:vAlign w:val="bottom"/>
          </w:tcPr>
          <w:p w14:paraId="4F0C1440">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99.96%</w:t>
            </w:r>
          </w:p>
        </w:tc>
      </w:tr>
      <w:tr w14:paraId="4E18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1CBCF9BB">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14:paraId="3813E329">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14:paraId="55CB2CBC">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11,963.61</w:t>
            </w:r>
          </w:p>
        </w:tc>
        <w:tc>
          <w:tcPr>
            <w:tcW w:w="1501" w:type="dxa"/>
            <w:tcBorders>
              <w:top w:val="single" w:color="auto" w:sz="4" w:space="0"/>
              <w:left w:val="nil"/>
              <w:bottom w:val="single" w:color="auto" w:sz="4" w:space="0"/>
              <w:right w:val="single" w:color="auto" w:sz="4" w:space="0"/>
            </w:tcBorders>
            <w:vAlign w:val="bottom"/>
          </w:tcPr>
          <w:p w14:paraId="38496BF2">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14:paraId="2978DCBE">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257,273.58</w:t>
            </w:r>
          </w:p>
        </w:tc>
        <w:tc>
          <w:tcPr>
            <w:tcW w:w="1585" w:type="dxa"/>
            <w:tcBorders>
              <w:top w:val="single" w:color="auto" w:sz="4" w:space="0"/>
              <w:left w:val="nil"/>
              <w:bottom w:val="single" w:color="auto" w:sz="4" w:space="0"/>
              <w:right w:val="single" w:color="auto" w:sz="4" w:space="0"/>
            </w:tcBorders>
            <w:vAlign w:val="bottom"/>
          </w:tcPr>
          <w:p w14:paraId="4000A19B">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0.86%</w:t>
            </w:r>
          </w:p>
        </w:tc>
      </w:tr>
      <w:tr w14:paraId="4C79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0FBCB12B">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14:paraId="54705BF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3C1750FC">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156D7DA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29,486,070.54</w:t>
            </w:r>
          </w:p>
        </w:tc>
        <w:tc>
          <w:tcPr>
            <w:tcW w:w="1585" w:type="dxa"/>
            <w:tcBorders>
              <w:top w:val="single" w:color="auto" w:sz="4" w:space="0"/>
              <w:left w:val="nil"/>
              <w:bottom w:val="single" w:color="auto" w:sz="4" w:space="0"/>
              <w:right w:val="single" w:color="auto" w:sz="4" w:space="0"/>
            </w:tcBorders>
            <w:vAlign w:val="bottom"/>
          </w:tcPr>
          <w:p w14:paraId="12D08FC4">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99.10%</w:t>
            </w:r>
          </w:p>
        </w:tc>
      </w:tr>
      <w:tr w14:paraId="44AFE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66A34D9D">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14:paraId="6BB640E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6520008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1AC6C47B">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6FC0E00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05C2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2A2CEEB8">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14:paraId="3DA6A6A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15B73FAF">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1C706B25">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64BC6BE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6A25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3AB8FD06">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14:paraId="136B917D">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01327E4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1995707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4C7D4569">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5BEB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14:paraId="03B3D6C9">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14:paraId="74971CD4">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14:paraId="586967F1">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14:paraId="65F6989A">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14:paraId="55A21CD7">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14:paraId="6008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14:paraId="4250B714">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14:paraId="39C3C931">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11,963.61</w:t>
            </w:r>
          </w:p>
        </w:tc>
        <w:tc>
          <w:tcPr>
            <w:tcW w:w="1501" w:type="dxa"/>
            <w:tcBorders>
              <w:top w:val="single" w:color="auto" w:sz="4" w:space="0"/>
              <w:left w:val="nil"/>
              <w:bottom w:val="single" w:color="auto" w:sz="4" w:space="0"/>
              <w:right w:val="single" w:color="auto" w:sz="4" w:space="0"/>
            </w:tcBorders>
            <w:vAlign w:val="bottom"/>
          </w:tcPr>
          <w:p w14:paraId="3ABEE25C">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14:paraId="6462922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29,743,344.12</w:t>
            </w:r>
          </w:p>
        </w:tc>
        <w:tc>
          <w:tcPr>
            <w:tcW w:w="1585" w:type="dxa"/>
            <w:tcBorders>
              <w:top w:val="single" w:color="auto" w:sz="4" w:space="0"/>
              <w:left w:val="nil"/>
              <w:bottom w:val="single" w:color="auto" w:sz="4" w:space="0"/>
              <w:right w:val="single" w:color="auto" w:sz="4" w:space="0"/>
            </w:tcBorders>
            <w:vAlign w:val="bottom"/>
          </w:tcPr>
          <w:p w14:paraId="6EEDE716">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99.96%</w:t>
            </w:r>
          </w:p>
        </w:tc>
      </w:tr>
    </w:tbl>
    <w:p w14:paraId="715D1B70">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14:paraId="4A5D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046221F">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15C08619">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8918B23">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E1ACCDA">
            <w:pPr>
              <w:jc w:val="center"/>
            </w:pPr>
            <w:r>
              <w:rPr>
                <w:rFonts w:ascii="微软雅黑" w:hAnsi="微软雅黑" w:eastAsia="微软雅黑" w:cs="微软雅黑"/>
                <w:b w:val="0"/>
                <w:i w:val="0"/>
                <w:strike w:val="0"/>
                <w:color w:val="000000"/>
                <w:sz w:val="24"/>
                <w:u w:val="none"/>
              </w:rPr>
              <w:t>资产占比</w:t>
            </w:r>
          </w:p>
        </w:tc>
      </w:tr>
      <w:tr w14:paraId="27D2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A1FAB66">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3628931">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B1FE8FD">
            <w:pPr>
              <w:jc w:val="center"/>
            </w:pPr>
            <w:r>
              <w:rPr>
                <w:rFonts w:ascii="微软雅黑" w:hAnsi="微软雅黑" w:eastAsia="微软雅黑" w:cs="微软雅黑"/>
                <w:b w:val="0"/>
                <w:i w:val="0"/>
                <w:strike w:val="0"/>
                <w:color w:val="000000"/>
                <w:sz w:val="24"/>
                <w:u w:val="none"/>
              </w:rPr>
              <w:t xml:space="preserve">29,743,344.12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9E89A15">
            <w:pPr>
              <w:jc w:val="center"/>
            </w:pPr>
            <w:r>
              <w:rPr>
                <w:rFonts w:ascii="微软雅黑" w:hAnsi="微软雅黑" w:eastAsia="微软雅黑" w:cs="微软雅黑"/>
                <w:b w:val="0"/>
                <w:i w:val="0"/>
                <w:strike w:val="0"/>
                <w:color w:val="000000"/>
                <w:sz w:val="24"/>
                <w:u w:val="none"/>
              </w:rPr>
              <w:t>100.50%</w:t>
            </w:r>
          </w:p>
        </w:tc>
      </w:tr>
      <w:tr w14:paraId="7AC6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DAE1DFB">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4DCFF396">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06BB56C">
            <w:pPr>
              <w:jc w:val="center"/>
            </w:pPr>
            <w:r>
              <w:rPr>
                <w:rFonts w:ascii="微软雅黑" w:hAnsi="微软雅黑" w:eastAsia="微软雅黑" w:cs="微软雅黑"/>
                <w:b w:val="0"/>
                <w:i w:val="0"/>
                <w:strike w:val="0"/>
                <w:color w:val="000000"/>
                <w:sz w:val="24"/>
                <w:u w:val="none"/>
              </w:rPr>
              <w:t xml:space="preserve">11,963.61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78A9793">
            <w:pPr>
              <w:jc w:val="center"/>
            </w:pPr>
            <w:r>
              <w:rPr>
                <w:rFonts w:ascii="微软雅黑" w:hAnsi="微软雅黑" w:eastAsia="微软雅黑" w:cs="微软雅黑"/>
                <w:b w:val="0"/>
                <w:i w:val="0"/>
                <w:strike w:val="0"/>
                <w:color w:val="000000"/>
                <w:sz w:val="24"/>
                <w:u w:val="none"/>
              </w:rPr>
              <w:t>0.04%</w:t>
            </w:r>
          </w:p>
        </w:tc>
      </w:tr>
    </w:tbl>
    <w:p w14:paraId="78C1BFBB"/>
    <w:p w14:paraId="49AFB7F8">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14:paraId="260C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EE2681E">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3B1503CC">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0C3D9F45">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70592BE">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8BCD738">
            <w:pPr>
              <w:jc w:val="center"/>
            </w:pPr>
            <w:r>
              <w:rPr>
                <w:rFonts w:ascii="微软雅黑" w:hAnsi="微软雅黑" w:eastAsia="微软雅黑" w:cs="微软雅黑"/>
                <w:b w:val="0"/>
                <w:i w:val="0"/>
                <w:strike w:val="0"/>
                <w:color w:val="000000"/>
                <w:sz w:val="24"/>
                <w:u w:val="none"/>
              </w:rPr>
              <w:t>交易结构</w:t>
            </w:r>
          </w:p>
        </w:tc>
      </w:tr>
      <w:tr w14:paraId="597D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3E0AB68">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29DAF854">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5563CCAA">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6C18B7EA">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14:paraId="76E8612F">
            <w:pPr>
              <w:jc w:val="center"/>
            </w:pPr>
            <w:r>
              <w:rPr>
                <w:rFonts w:ascii="微软雅黑" w:hAnsi="微软雅黑" w:eastAsia="微软雅黑" w:cs="微软雅黑"/>
                <w:b w:val="0"/>
                <w:i w:val="0"/>
                <w:strike w:val="0"/>
                <w:color w:val="000000"/>
                <w:sz w:val="24"/>
                <w:u w:val="none"/>
              </w:rPr>
              <w:t>-</w:t>
            </w:r>
          </w:p>
        </w:tc>
      </w:tr>
    </w:tbl>
    <w:p w14:paraId="7C952417">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14:paraId="5682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14:paraId="3C26C869">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14:paraId="69E8C0DB">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14:paraId="3C814100">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14:paraId="31DF490B">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14:paraId="2650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14:paraId="79479734">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14:paraId="0FC9A776">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739701220000345830824</w:t>
            </w:r>
          </w:p>
        </w:tc>
        <w:tc>
          <w:tcPr>
            <w:tcW w:w="2491" w:type="dxa"/>
          </w:tcPr>
          <w:p w14:paraId="12771301">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珠海华润银行股份有限公司润悦1号第862期</w:t>
            </w:r>
          </w:p>
        </w:tc>
        <w:tc>
          <w:tcPr>
            <w:tcW w:w="2352" w:type="dxa"/>
          </w:tcPr>
          <w:p w14:paraId="44E81188">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14:paraId="6906CB9F">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14:paraId="7CA3E889">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14:paraId="5BB6B463">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14:paraId="223C1C5E">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14:paraId="2CAA3CDF">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14:paraId="6BEDA3B4">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14:paraId="3A5E1525">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14:paraId="252B3E16">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14:paraId="21831807">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14:paraId="6A0E2C9B">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366983.71</w:t>
      </w:r>
      <w:r>
        <w:rPr>
          <w:rFonts w:hint="eastAsia" w:ascii="微软雅黑" w:hAnsi="微软雅黑" w:eastAsia="微软雅黑"/>
          <w:sz w:val="24"/>
          <w:szCs w:val="24"/>
        </w:rPr>
        <w:t>元；</w:t>
      </w:r>
    </w:p>
    <w:p w14:paraId="1145B11F">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14:paraId="0C97974F">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14:paraId="667A70EB">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14:paraId="3368D509">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14:paraId="073062E5">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14:paraId="6EF3A792"/>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0DB2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F733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1</Lines>
  <Paragraphs>1</Paragraphs>
  <TotalTime>14</TotalTime>
  <ScaleCrop>false</ScaleCrop>
  <LinksUpToDate>false</LinksUpToDate>
  <CharactersWithSpaces>0</CharactersWithSpaces>
  <Application>WPS Office_12.8.2.19366_F1E327BC-269C-435d-A152-05C5408002CA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2023-12-06T10:06:00Z</dcterms:created>
  <dc:creator>chenjianjiewb</dc:creator>
  <cp:lastModifiedBy>WANGCAN61</cp:lastModifiedBy>
  <dcterms:modified xsi:type="dcterms:W3CDTF">2026-08-06T08:11:05Z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8522A136CC1A44069EA6CB725747E9F1</vt:lpwstr>
  </property>
  <property fmtid="{D5CDD505-2E9C-101B-9397-08002B2CF9AE}" pid="3" name="KSOProductBuildVer">
    <vt:lpwstr>2052-12.8.2.19366</vt:lpwstr>
  </property>
</Properties>
</file>