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b/>
          <w:bCs/>
          <w:sz w:val="32"/>
          <w:szCs w:val="32"/>
          <w:lang w:val="en-US" w:eastAsia="zh-CN"/>
        </w:rPr>
      </w:pPr>
      <w:r>
        <w:rPr>
          <w:rFonts w:hint="eastAsia" w:ascii="微软雅黑" w:hAnsi="微软雅黑" w:eastAsia="微软雅黑" w:cs="微软雅黑"/>
          <w:b/>
          <w:bCs/>
          <w:kern w:val="2"/>
          <w:sz w:val="32"/>
          <w:szCs w:val="32"/>
          <w:lang w:val="en-US" w:eastAsia="zh-CN" w:bidi="ar-SA"/>
        </w:rPr>
        <w:t xml:space="preserve">广东华润银行润悦1号第872期理财产品 </w:t>
      </w:r>
    </w:p>
    <w:p>
      <w:pPr>
        <w:rPr>
          <w:rFonts w:hint="default"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                                           </w:t>
      </w:r>
      <w:r>
        <w:rPr>
          <w:rFonts w:hint="eastAsia" w:ascii="微软雅黑" w:hAnsi="微软雅黑" w:eastAsia="微软雅黑" w:cs="Calibri"/>
          <w:b/>
          <w:bCs/>
          <w:kern w:val="2"/>
          <w:sz w:val="28"/>
          <w:szCs w:val="28"/>
          <w:lang w:val="en-US" w:eastAsia="zh-CN" w:bidi="ar-SA"/>
        </w:rPr>
        <w:t>2026年半年度报告</w:t>
      </w:r>
    </w:p>
    <w:p>
      <w:pPr>
        <w:rPr>
          <w:rFonts w:hint="eastAsia" w:ascii="微软雅黑" w:hAnsi="微软雅黑" w:eastAsia="微软雅黑"/>
          <w:b/>
          <w:bCs/>
          <w:sz w:val="28"/>
          <w:szCs w:val="28"/>
        </w:rPr>
      </w:pPr>
      <w:r>
        <w:rPr>
          <w:rFonts w:hint="eastAsia" w:ascii="微软雅黑" w:hAnsi="微软雅黑" w:eastAsia="微软雅黑"/>
          <w:b/>
          <w:bCs/>
          <w:sz w:val="28"/>
          <w:szCs w:val="28"/>
        </w:rPr>
        <w:t>一、重要提示</w:t>
      </w:r>
    </w:p>
    <w:p>
      <w:pPr>
        <w:pStyle w:val="7"/>
        <w:ind w:firstLine="480"/>
        <w:rPr>
          <w:rFonts w:ascii="微软雅黑" w:hAnsi="微软雅黑" w:eastAsia="微软雅黑" w:cs="Calibri"/>
          <w:sz w:val="24"/>
          <w:szCs w:val="24"/>
        </w:rPr>
      </w:pPr>
      <w:r>
        <w:rPr>
          <w:rFonts w:hint="eastAsia" w:ascii="微软雅黑" w:hAnsi="微软雅黑" w:eastAsia="微软雅黑" w:cs="Calibri"/>
          <w:sz w:val="24"/>
          <w:szCs w:val="24"/>
        </w:rPr>
        <w:t>产品管理人承诺以诚实信用、勤勉尽责的原则管理和运用产品资产，但不保证产品一定盈利。</w:t>
      </w:r>
    </w:p>
    <w:p>
      <w:pPr>
        <w:ind w:firstLine="480"/>
        <w:rPr>
          <w:rFonts w:ascii="微软雅黑" w:hAnsi="微软雅黑" w:eastAsia="微软雅黑"/>
          <w:sz w:val="24"/>
          <w:szCs w:val="24"/>
          <w:highlight w:val="none"/>
        </w:rPr>
      </w:pPr>
      <w:r>
        <w:rPr>
          <w:rFonts w:hint="eastAsia" w:ascii="微软雅黑" w:hAnsi="微软雅黑" w:eastAsia="微软雅黑"/>
          <w:sz w:val="24"/>
          <w:szCs w:val="24"/>
          <w:highlight w:val="none"/>
        </w:rPr>
        <w:t>本产品为净值型产品，业绩表现将随市场波动，具有不确定性，理财产品过往业绩并不代表其未来表现，不等于理财产品实际收益。</w:t>
      </w:r>
      <w:r>
        <w:rPr>
          <w:rFonts w:hint="eastAsia" w:ascii="微软雅黑" w:hAnsi="微软雅黑" w:eastAsia="微软雅黑"/>
          <w:b/>
          <w:bCs/>
          <w:sz w:val="24"/>
          <w:szCs w:val="24"/>
          <w:highlight w:val="none"/>
        </w:rPr>
        <w:t>理财非存款、产品有风险、投资须谨慎</w:t>
      </w:r>
      <w:r>
        <w:rPr>
          <w:rFonts w:hint="eastAsia" w:ascii="微软雅黑" w:hAnsi="微软雅黑" w:eastAsia="微软雅黑"/>
          <w:sz w:val="24"/>
          <w:szCs w:val="24"/>
          <w:highlight w:val="none"/>
        </w:rPr>
        <w:t>，投资者在做出投资决策前应仔细阅读本产品的销售文件。</w:t>
      </w:r>
    </w:p>
    <w:p>
      <w:pPr>
        <w:pStyle w:val="7"/>
        <w:rPr>
          <w:rFonts w:hint="eastAsia" w:ascii="微软雅黑" w:hAnsi="微软雅黑" w:eastAsia="微软雅黑" w:cs="Calibri"/>
          <w:sz w:val="24"/>
          <w:szCs w:val="24"/>
        </w:rPr>
      </w:pPr>
      <w:r>
        <w:rPr>
          <w:rFonts w:hint="eastAsia" w:ascii="微软雅黑" w:hAnsi="微软雅黑" w:eastAsia="微软雅黑" w:cs="Calibri"/>
          <w:sz w:val="24"/>
          <w:szCs w:val="24"/>
        </w:rPr>
        <w:t>本报告中财务资料未经审计。</w:t>
      </w:r>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二、产品概况</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0"/>
        <w:gridCol w:w="4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产品名称</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bookmarkStart w:id="0" w:name="_GoBack"/>
            <w:r>
              <w:rPr>
                <w:rFonts w:ascii="微软雅黑" w:hAnsi="微软雅黑" w:eastAsia="微软雅黑" w:cs="微软雅黑"/>
                <w:b w:val="0"/>
                <w:i w:val="0"/>
                <w:strike w:val="0"/>
                <w:color w:val="000000"/>
                <w:sz w:val="24"/>
                <w:u w:val="none"/>
              </w:rPr>
              <w:t>润悦1号第872期</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产品代码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RY10872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产品登记编码</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C1082925000158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产品成立日</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2026年01月07日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业绩比较基准</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2.45%-3.55%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风险等级</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二级(中低)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报告期末产品份额总额</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23,277,000.00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产品管理人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广东华润银行股份有限公司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产品托管人</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宁波银行股份有限公司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486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杠杆水平</w:t>
            </w:r>
          </w:p>
        </w:tc>
        <w:tc>
          <w:tcPr>
            <w:tcW w:w="4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left"/>
            </w:pPr>
            <w:r>
              <w:rPr>
                <w:rFonts w:ascii="微软雅黑" w:hAnsi="微软雅黑" w:eastAsia="微软雅黑" w:cs="微软雅黑"/>
                <w:b w:val="0"/>
                <w:i w:val="0"/>
                <w:strike w:val="0"/>
                <w:color w:val="000000"/>
                <w:sz w:val="24"/>
                <w:u w:val="none"/>
              </w:rPr>
              <w:t>100.15%</w:t>
            </w:r>
          </w:p>
        </w:tc>
      </w:tr>
    </w:tbl>
    <w:p>
      <w:pPr>
        <w:ind w:firstLine="480"/>
        <w:rPr>
          <w:rFonts w:hint="eastAsia" w:ascii="微软雅黑" w:hAnsi="微软雅黑" w:eastAsia="微软雅黑"/>
          <w:sz w:val="21"/>
          <w:szCs w:val="21"/>
          <w:highlight w:val="none"/>
        </w:rPr>
      </w:pPr>
      <w:r>
        <w:rPr>
          <w:rFonts w:hint="eastAsia" w:ascii="微软雅黑" w:hAnsi="微软雅黑" w:eastAsia="微软雅黑"/>
          <w:sz w:val="21"/>
          <w:szCs w:val="21"/>
          <w:highlight w:val="none"/>
        </w:rPr>
        <w:t>注：业绩比较基准是管理人基于产品性质、投资策略、过往经验等因素对产品设定的投资目标，不代表产品的未来表现和实际收益，不构成对产品收益的承诺。投资者不应将业绩比较基准作为持有产品份额到期的综合投资收益参考值。</w:t>
      </w:r>
    </w:p>
    <w:p>
      <w:pPr>
        <w:rPr>
          <w:rFonts w:ascii="微软雅黑" w:hAnsi="微软雅黑" w:eastAsia="微软雅黑" w:cs="Times New Roman"/>
          <w:b/>
          <w:bCs/>
          <w:sz w:val="28"/>
          <w:szCs w:val="28"/>
        </w:rPr>
      </w:pPr>
      <w:r>
        <w:rPr>
          <w:rFonts w:hint="eastAsia" w:ascii="微软雅黑" w:hAnsi="微软雅黑" w:eastAsia="微软雅黑"/>
          <w:b/>
          <w:bCs/>
          <w:sz w:val="28"/>
          <w:szCs w:val="28"/>
        </w:rPr>
        <w:t>三、产品净值表现</w:t>
      </w:r>
    </w:p>
    <w:tbl>
      <w:tblPr>
        <w:tblStyle w:val="3"/>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0"/>
        <w:gridCol w:w="6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89" w:type="dxa"/>
            <w:tcBorders>
              <w:top w:val="single" w:color="auto" w:sz="4" w:space="0"/>
              <w:left w:val="single" w:color="auto" w:sz="4" w:space="0"/>
              <w:bottom w:val="single" w:color="auto" w:sz="4" w:space="0"/>
              <w:right w:val="single" w:color="auto" w:sz="4" w:space="0"/>
            </w:tcBorders>
            <w:vAlign w:val="center"/>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产品净值表现</w:t>
            </w:r>
          </w:p>
        </w:tc>
        <w:tc>
          <w:tcPr>
            <w:tcW w:w="6258" w:type="dxa"/>
            <w:tcBorders>
              <w:top w:val="single" w:color="auto" w:sz="4" w:space="0"/>
              <w:left w:val="nil"/>
              <w:bottom w:val="single" w:color="auto" w:sz="4" w:space="0"/>
              <w:right w:val="single" w:color="auto" w:sz="4" w:space="0"/>
            </w:tcBorders>
          </w:tcPr>
          <w:p>
            <w:pPr>
              <w:pStyle w:val="7"/>
              <w:ind w:firstLine="2400" w:firstLineChars="1000"/>
              <w:rPr>
                <w:rStyle w:val="8"/>
                <w:rFonts w:ascii="微软雅黑" w:hAnsi="微软雅黑" w:eastAsia="微软雅黑"/>
                <w:sz w:val="24"/>
                <w:szCs w:val="24"/>
              </w:rPr>
            </w:pPr>
            <w:r>
              <w:rPr>
                <w:rFonts w:hint="eastAsia" w:ascii="微软雅黑" w:hAnsi="微软雅黑" w:eastAsia="微软雅黑"/>
                <w:sz w:val="24"/>
                <w:szCs w:val="24"/>
              </w:rPr>
              <w:t>报告期</w:t>
            </w:r>
          </w:p>
          <w:p>
            <w:pPr>
              <w:pStyle w:val="7"/>
              <w:ind w:firstLine="240" w:firstLineChars="100"/>
              <w:rPr>
                <w:rStyle w:val="8"/>
                <w:rFonts w:ascii="微软雅黑" w:hAnsi="微软雅黑" w:eastAsia="微软雅黑"/>
                <w:sz w:val="24"/>
                <w:szCs w:val="24"/>
              </w:rPr>
            </w:pPr>
            <w:r>
              <w:rPr>
                <w:rFonts w:hint="eastAsia" w:ascii="微软雅黑" w:hAnsi="微软雅黑" w:eastAsia="微软雅黑" w:cs="Times New Roman"/>
                <w:kern w:val="2"/>
                <w:sz w:val="24"/>
                <w:szCs w:val="24"/>
                <w:lang w:val="en-US" w:eastAsia="zh-CN" w:bidi="ar-SA"/>
              </w:rPr>
              <w:t>2026年01月07日</w:t>
            </w:r>
            <w:r>
              <w:rPr>
                <w:rFonts w:hint="eastAsia" w:ascii="微软雅黑" w:hAnsi="微软雅黑" w:eastAsia="微软雅黑"/>
                <w:sz w:val="24"/>
                <w:szCs w:val="24"/>
              </w:rPr>
              <w:t xml:space="preserve"> </w:t>
            </w:r>
            <w:r>
              <w:rPr>
                <w:rFonts w:ascii="微软雅黑" w:hAnsi="微软雅黑" w:eastAsia="微软雅黑"/>
                <w:sz w:val="24"/>
                <w:szCs w:val="24"/>
              </w:rPr>
              <w:t>至</w:t>
            </w:r>
            <w:r>
              <w:rPr>
                <w:rFonts w:hint="eastAsia" w:ascii="微软雅黑" w:hAnsi="微软雅黑" w:eastAsia="微软雅黑"/>
                <w:sz w:val="24"/>
                <w:szCs w:val="24"/>
              </w:rPr>
              <w:t xml:space="preserve"> </w:t>
            </w:r>
            <w:r>
              <w:rPr>
                <w:rFonts w:hint="eastAsia" w:ascii="微软雅黑" w:hAnsi="微软雅黑" w:eastAsia="微软雅黑" w:cs="Times New Roman"/>
                <w:kern w:val="2"/>
                <w:sz w:val="24"/>
                <w:szCs w:val="24"/>
                <w:lang w:val="en-US" w:eastAsia="zh-CN" w:bidi="ar-SA"/>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1.期末产品资产净值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23,620,016.36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2.期末产品份额净值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1.01473628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3589"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3.期末产品份额累计净值</w:t>
            </w:r>
          </w:p>
        </w:tc>
        <w:tc>
          <w:tcPr>
            <w:tcW w:w="6258" w:type="dxa"/>
            <w:tcBorders>
              <w:top w:val="single" w:color="auto" w:sz="4" w:space="0"/>
              <w:left w:val="nil"/>
              <w:bottom w:val="single" w:color="auto" w:sz="4" w:space="0"/>
              <w:right w:val="single" w:color="auto" w:sz="4" w:space="0"/>
            </w:tcBorders>
          </w:tcPr>
          <w:p>
            <w:pPr>
              <w:pStyle w:val="7"/>
              <w:ind w:firstLine="0"/>
              <w:jc w:val="right"/>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1.01473628</w:t>
            </w:r>
          </w:p>
        </w:tc>
      </w:tr>
    </w:tbl>
    <w:p>
      <w:pPr>
        <w:spacing w:before="156" w:beforeLines="50"/>
        <w:rPr>
          <w:rFonts w:ascii="微软雅黑" w:hAnsi="微软雅黑" w:eastAsia="微软雅黑" w:cs="Times New Roman"/>
          <w:b/>
          <w:bCs/>
          <w:sz w:val="28"/>
          <w:szCs w:val="28"/>
        </w:rPr>
      </w:pPr>
      <w:r>
        <w:rPr>
          <w:rFonts w:hint="eastAsia" w:ascii="微软雅黑" w:hAnsi="微软雅黑" w:eastAsia="微软雅黑"/>
          <w:b/>
          <w:bCs/>
          <w:sz w:val="28"/>
          <w:szCs w:val="28"/>
        </w:rPr>
        <w:t>四、投资情况</w:t>
      </w:r>
    </w:p>
    <w:tbl>
      <w:tblPr>
        <w:tblStyle w:val="3"/>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2251"/>
        <w:gridCol w:w="1501"/>
        <w:gridCol w:w="2375"/>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restart"/>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项  目</w:t>
            </w:r>
          </w:p>
        </w:tc>
        <w:tc>
          <w:tcPr>
            <w:tcW w:w="3752"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直接投资</w:t>
            </w:r>
          </w:p>
        </w:tc>
        <w:tc>
          <w:tcPr>
            <w:tcW w:w="3960" w:type="dxa"/>
            <w:gridSpan w:val="2"/>
            <w:tcBorders>
              <w:top w:val="single" w:color="auto" w:sz="4" w:space="0"/>
              <w:left w:val="nil"/>
              <w:bottom w:val="single" w:color="auto" w:sz="4" w:space="0"/>
              <w:right w:val="single" w:color="auto" w:sz="4" w:space="0"/>
            </w:tcBorders>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间接投资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Style w:val="8"/>
                <w:rFonts w:ascii="微软雅黑" w:hAnsi="微软雅黑" w:eastAsia="微软雅黑"/>
                <w:sz w:val="24"/>
                <w:szCs w:val="24"/>
              </w:rPr>
            </w:pPr>
          </w:p>
        </w:tc>
        <w:tc>
          <w:tcPr>
            <w:tcW w:w="225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01"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c>
          <w:tcPr>
            <w:tcW w:w="237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资产余额（元）</w:t>
            </w:r>
          </w:p>
        </w:tc>
        <w:tc>
          <w:tcPr>
            <w:tcW w:w="1585" w:type="dxa"/>
            <w:tcBorders>
              <w:top w:val="single" w:color="auto" w:sz="4" w:space="0"/>
              <w:left w:val="nil"/>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占产品总资产的比例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1. 固定收益类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7,782.54</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0.03%</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23,647,165.57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其中：</w:t>
            </w:r>
          </w:p>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现金及货币工具</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7,782.54</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0.03%</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213,383.62</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债券类资产</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23,433,781.95</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非标准化债权</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其他投资</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2.权益类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tcPr>
          <w:p>
            <w:pPr>
              <w:pStyle w:val="7"/>
              <w:ind w:firstLine="0"/>
              <w:rPr>
                <w:rStyle w:val="8"/>
                <w:rFonts w:ascii="微软雅黑" w:hAnsi="微软雅黑" w:eastAsia="微软雅黑"/>
                <w:sz w:val="24"/>
                <w:szCs w:val="24"/>
              </w:rPr>
            </w:pPr>
            <w:r>
              <w:rPr>
                <w:rFonts w:hint="eastAsia" w:ascii="微软雅黑" w:hAnsi="微软雅黑" w:eastAsia="微软雅黑"/>
                <w:sz w:val="24"/>
                <w:szCs w:val="24"/>
              </w:rPr>
              <w:t>3.商品及金融衍生品类</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tcBorders>
              <w:top w:val="single" w:color="auto" w:sz="4" w:space="0"/>
              <w:left w:val="single" w:color="auto" w:sz="4" w:space="0"/>
              <w:bottom w:val="single" w:color="auto" w:sz="4" w:space="0"/>
              <w:right w:val="single" w:color="auto" w:sz="4" w:space="0"/>
            </w:tcBorders>
            <w:vAlign w:val="center"/>
          </w:tcPr>
          <w:p>
            <w:pPr>
              <w:pStyle w:val="7"/>
              <w:ind w:firstLine="0"/>
              <w:jc w:val="center"/>
              <w:rPr>
                <w:rStyle w:val="8"/>
                <w:rFonts w:ascii="微软雅黑" w:hAnsi="微软雅黑" w:eastAsia="微软雅黑"/>
                <w:sz w:val="24"/>
                <w:szCs w:val="24"/>
              </w:rPr>
            </w:pPr>
            <w:r>
              <w:rPr>
                <w:rFonts w:hint="eastAsia" w:ascii="微软雅黑" w:hAnsi="微软雅黑" w:eastAsia="微软雅黑"/>
                <w:sz w:val="24"/>
                <w:szCs w:val="24"/>
              </w:rPr>
              <w:t>合计</w:t>
            </w:r>
          </w:p>
        </w:tc>
        <w:tc>
          <w:tcPr>
            <w:tcW w:w="225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7,782.54</w:t>
            </w:r>
          </w:p>
        </w:tc>
        <w:tc>
          <w:tcPr>
            <w:tcW w:w="1501"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0.03%</w:t>
            </w:r>
          </w:p>
        </w:tc>
        <w:tc>
          <w:tcPr>
            <w:tcW w:w="237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23,647,165.57</w:t>
            </w:r>
          </w:p>
        </w:tc>
        <w:tc>
          <w:tcPr>
            <w:tcW w:w="1585" w:type="dxa"/>
            <w:tcBorders>
              <w:top w:val="single" w:color="auto" w:sz="4" w:space="0"/>
              <w:left w:val="nil"/>
              <w:bottom w:val="single" w:color="auto" w:sz="4" w:space="0"/>
              <w:right w:val="single" w:color="auto" w:sz="4" w:space="0"/>
            </w:tcBorders>
            <w:vAlign w:val="bottom"/>
          </w:tcPr>
          <w:p>
            <w:pPr>
              <w:pStyle w:val="7"/>
              <w:ind w:firstLine="0"/>
              <w:rPr>
                <w:rStyle w:val="8"/>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99.97%</w:t>
            </w:r>
          </w:p>
        </w:tc>
      </w:tr>
    </w:tbl>
    <w:p>
      <w:pPr>
        <w:numPr>
          <w:ilvl w:val="0"/>
          <w:numId w:val="1"/>
        </w:numPr>
        <w:spacing w:before="156" w:beforeLines="50"/>
        <w:jc w:val="left"/>
        <w:rPr>
          <w:rFonts w:hint="eastAsia" w:ascii="微软雅黑" w:hAnsi="微软雅黑" w:eastAsia="微软雅黑"/>
          <w:b/>
          <w:bCs/>
          <w:sz w:val="28"/>
          <w:szCs w:val="28"/>
        </w:rPr>
      </w:pPr>
      <w:r>
        <w:rPr>
          <w:rFonts w:hint="eastAsia" w:ascii="微软雅黑" w:hAnsi="微软雅黑" w:eastAsia="微软雅黑"/>
          <w:b/>
          <w:bCs/>
          <w:sz w:val="28"/>
          <w:szCs w:val="28"/>
        </w:rPr>
        <w:t>报告期末按公允价值占理财产品资产净值比例大小排序的前十项资产投资明细</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
        <w:gridCol w:w="3750"/>
        <w:gridCol w:w="2820"/>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序号</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资产名称</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资产余额（元）</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资产占比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1</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华润信托-卓越11号集合资金信托计划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13,048,020.35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55.24%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2</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国联信托-闰惠1号集合资金信托计划</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10,599,145.22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44.87%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3</w:t>
            </w:r>
          </w:p>
        </w:tc>
        <w:tc>
          <w:tcPr>
            <w:tcW w:w="375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活期存款</w:t>
            </w:r>
          </w:p>
        </w:tc>
        <w:tc>
          <w:tcPr>
            <w:tcW w:w="28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 xml:space="preserve">7,782.54 </w:t>
            </w:r>
          </w:p>
        </w:tc>
        <w:tc>
          <w:tcPr>
            <w:tcW w:w="213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0.03%</w:t>
            </w:r>
          </w:p>
        </w:tc>
      </w:tr>
    </w:tbl>
    <w:p/>
    <w:p>
      <w:pPr>
        <w:rPr>
          <w:rFonts w:hint="eastAsia" w:ascii="微软雅黑" w:hAnsi="微软雅黑" w:eastAsia="微软雅黑"/>
          <w:b/>
          <w:bCs/>
          <w:sz w:val="28"/>
          <w:szCs w:val="28"/>
        </w:rPr>
      </w:pPr>
      <w:r>
        <w:rPr>
          <w:rFonts w:hint="eastAsia" w:ascii="微软雅黑" w:hAnsi="微软雅黑" w:eastAsia="微软雅黑"/>
          <w:b/>
          <w:bCs/>
          <w:sz w:val="28"/>
          <w:szCs w:val="28"/>
          <w:lang w:val="en-US" w:eastAsia="zh-CN"/>
        </w:rPr>
        <w:t>六、</w:t>
      </w:r>
      <w:r>
        <w:rPr>
          <w:rFonts w:hint="eastAsia" w:ascii="微软雅黑" w:hAnsi="微软雅黑" w:eastAsia="微软雅黑"/>
          <w:b/>
          <w:bCs/>
          <w:sz w:val="28"/>
          <w:szCs w:val="28"/>
        </w:rPr>
        <w:t xml:space="preserve">报告期内投资的非标准化债权类资产信息 </w:t>
      </w:r>
    </w:p>
    <w:tbl>
      <w:tblPr>
        <w:tblStyle w:val="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5"/>
        <w:gridCol w:w="2070"/>
        <w:gridCol w:w="2115"/>
        <w:gridCol w:w="1320"/>
        <w:gridCol w:w="1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产品名称</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项目名称</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融资客户名称</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剩余融资期限（天）</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交易结构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35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07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211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320"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c>
          <w:tcPr>
            <w:tcW w:w="1875" w:type="dxa"/>
            <w:tcBorders>
              <w:top w:val="single" w:color="000000" w:sz="4" w:space="0"/>
              <w:left w:val="single" w:color="000000" w:sz="4" w:space="0"/>
              <w:bottom w:val="single" w:color="000000" w:sz="4" w:space="0"/>
              <w:right w:val="single" w:color="000000" w:sz="4" w:space="0"/>
            </w:tcBorders>
            <w:shd w:val="clear" w:color="auto" w:fill="auto"/>
            <w:tcMar>
              <w:left w:w="80" w:type="dxa"/>
              <w:right w:w="80" w:type="dxa"/>
            </w:tcMar>
            <w:vAlign w:val="center"/>
          </w:tcPr>
          <w:p>
            <w:pPr>
              <w:jc w:val="center"/>
            </w:pPr>
            <w:r>
              <w:rPr>
                <w:rFonts w:ascii="微软雅黑" w:hAnsi="微软雅黑" w:eastAsia="微软雅黑" w:cs="微软雅黑"/>
                <w:b w:val="0"/>
                <w:i w:val="0"/>
                <w:strike w:val="0"/>
                <w:color w:val="000000"/>
                <w:sz w:val="24"/>
                <w:u w:val="none"/>
              </w:rPr>
              <w:t>-</w:t>
            </w:r>
          </w:p>
        </w:tc>
      </w:tr>
    </w:tbl>
    <w:p>
      <w:pPr>
        <w:numPr>
          <w:ilvl w:val="0"/>
          <w:numId w:val="0"/>
        </w:numPr>
        <w:spacing w:before="156" w:beforeLines="50"/>
        <w:rPr>
          <w:rFonts w:ascii="微软雅黑" w:hAnsi="微软雅黑" w:eastAsia="微软雅黑"/>
          <w:b/>
          <w:bCs/>
          <w:sz w:val="28"/>
          <w:szCs w:val="28"/>
        </w:rPr>
      </w:pPr>
      <w:r>
        <w:rPr>
          <w:rFonts w:hint="eastAsia" w:ascii="微软雅黑" w:hAnsi="微软雅黑" w:eastAsia="微软雅黑"/>
          <w:b/>
          <w:bCs/>
          <w:sz w:val="28"/>
          <w:szCs w:val="28"/>
          <w:lang w:eastAsia="zh-CN"/>
        </w:rPr>
        <w:t>七、</w:t>
      </w:r>
      <w:r>
        <w:rPr>
          <w:rFonts w:hint="eastAsia" w:ascii="微软雅黑" w:hAnsi="微软雅黑" w:eastAsia="微软雅黑"/>
          <w:b/>
          <w:bCs/>
          <w:sz w:val="28"/>
          <w:szCs w:val="28"/>
        </w:rPr>
        <w:t>投资账户信息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485"/>
        <w:gridCol w:w="2491"/>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jc w:val="center"/>
              <w:rPr>
                <w:rFonts w:ascii="微软雅黑" w:hAnsi="微软雅黑" w:eastAsia="微软雅黑"/>
                <w:sz w:val="22"/>
                <w:szCs w:val="22"/>
              </w:rPr>
            </w:pPr>
            <w:r>
              <w:rPr>
                <w:rFonts w:hint="eastAsia" w:ascii="微软雅黑" w:hAnsi="微软雅黑" w:eastAsia="微软雅黑"/>
                <w:sz w:val="22"/>
                <w:szCs w:val="22"/>
              </w:rPr>
              <w:t>账户类型</w:t>
            </w:r>
          </w:p>
        </w:tc>
        <w:tc>
          <w:tcPr>
            <w:tcW w:w="3485" w:type="dxa"/>
          </w:tcPr>
          <w:p>
            <w:pPr>
              <w:jc w:val="center"/>
              <w:rPr>
                <w:rFonts w:ascii="微软雅黑" w:hAnsi="微软雅黑" w:eastAsia="微软雅黑"/>
                <w:sz w:val="22"/>
                <w:szCs w:val="22"/>
              </w:rPr>
            </w:pPr>
            <w:r>
              <w:rPr>
                <w:rFonts w:hint="eastAsia" w:ascii="微软雅黑" w:hAnsi="微软雅黑" w:eastAsia="微软雅黑"/>
                <w:sz w:val="22"/>
                <w:szCs w:val="22"/>
              </w:rPr>
              <w:t>账户</w:t>
            </w:r>
          </w:p>
        </w:tc>
        <w:tc>
          <w:tcPr>
            <w:tcW w:w="2491" w:type="dxa"/>
          </w:tcPr>
          <w:p>
            <w:pPr>
              <w:jc w:val="center"/>
              <w:rPr>
                <w:rFonts w:ascii="微软雅黑" w:hAnsi="微软雅黑" w:eastAsia="微软雅黑"/>
                <w:sz w:val="22"/>
                <w:szCs w:val="22"/>
              </w:rPr>
            </w:pPr>
            <w:r>
              <w:rPr>
                <w:rFonts w:hint="eastAsia" w:ascii="微软雅黑" w:hAnsi="微软雅黑" w:eastAsia="微软雅黑"/>
                <w:sz w:val="22"/>
                <w:szCs w:val="22"/>
              </w:rPr>
              <w:t>账户名称</w:t>
            </w:r>
          </w:p>
        </w:tc>
        <w:tc>
          <w:tcPr>
            <w:tcW w:w="2352" w:type="dxa"/>
          </w:tcPr>
          <w:p>
            <w:pPr>
              <w:jc w:val="center"/>
              <w:rPr>
                <w:rFonts w:ascii="微软雅黑" w:hAnsi="微软雅黑" w:eastAsia="微软雅黑"/>
                <w:sz w:val="22"/>
                <w:szCs w:val="22"/>
              </w:rPr>
            </w:pPr>
            <w:r>
              <w:rPr>
                <w:rFonts w:hint="eastAsia" w:ascii="微软雅黑" w:hAnsi="微软雅黑" w:eastAsia="微软雅黑"/>
                <w:sz w:val="22"/>
                <w:szCs w:val="22"/>
              </w:rPr>
              <w:t>开户单位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tcPr>
          <w:p>
            <w:pPr>
              <w:rPr>
                <w:rFonts w:ascii="微软雅黑" w:hAnsi="微软雅黑" w:eastAsia="微软雅黑"/>
                <w:sz w:val="24"/>
                <w:szCs w:val="24"/>
              </w:rPr>
            </w:pPr>
            <w:r>
              <w:rPr>
                <w:rFonts w:hint="eastAsia" w:ascii="微软雅黑" w:hAnsi="微软雅黑" w:eastAsia="微软雅黑"/>
                <w:sz w:val="24"/>
                <w:szCs w:val="24"/>
              </w:rPr>
              <w:t>托管账户</w:t>
            </w:r>
          </w:p>
        </w:tc>
        <w:tc>
          <w:tcPr>
            <w:tcW w:w="3485"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739701220000345830834</w:t>
            </w:r>
          </w:p>
        </w:tc>
        <w:tc>
          <w:tcPr>
            <w:tcW w:w="2491" w:type="dxa"/>
          </w:tcPr>
          <w:p>
            <w:pPr>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珠海华润银行股份有限公司润悦1号第872期</w:t>
            </w:r>
          </w:p>
        </w:tc>
        <w:tc>
          <w:tcPr>
            <w:tcW w:w="2352" w:type="dxa"/>
          </w:tcPr>
          <w:p>
            <w:pPr>
              <w:tabs>
                <w:tab w:val="right" w:pos="2136"/>
              </w:tabs>
              <w:jc w:val="center"/>
              <w:rPr>
                <w:rFonts w:ascii="微软雅黑" w:hAnsi="微软雅黑" w:eastAsia="微软雅黑"/>
                <w:sz w:val="24"/>
                <w:szCs w:val="24"/>
              </w:rPr>
            </w:pPr>
            <w:r>
              <w:rPr>
                <w:rFonts w:hint="eastAsia" w:ascii="微软雅黑" w:hAnsi="微软雅黑" w:eastAsia="微软雅黑" w:cs="Calibri"/>
                <w:kern w:val="2"/>
                <w:sz w:val="24"/>
                <w:szCs w:val="24"/>
                <w:lang w:val="en-US" w:eastAsia="zh-CN" w:bidi="ar-SA"/>
              </w:rPr>
              <w:t>宁波银行深圳分行</w:t>
            </w:r>
          </w:p>
        </w:tc>
      </w:tr>
    </w:tbl>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八、产品整体运作情况</w:t>
      </w:r>
    </w:p>
    <w:p>
      <w:pPr>
        <w:ind w:firstLine="480"/>
        <w:rPr>
          <w:rFonts w:hint="eastAsia" w:ascii="微软雅黑" w:hAnsi="微软雅黑" w:eastAsia="微软雅黑"/>
          <w:sz w:val="24"/>
          <w:szCs w:val="24"/>
        </w:rPr>
      </w:pPr>
      <w:r>
        <w:rPr>
          <w:rFonts w:hint="eastAsia" w:ascii="微软雅黑" w:hAnsi="微软雅黑" w:eastAsia="微软雅黑"/>
          <w:sz w:val="24"/>
          <w:szCs w:val="24"/>
        </w:rPr>
        <w:t>自本产品成立起至本报告日，产品管理人恪尽职守、勤勉尽责、谨慎管理，忠实履行有关法律、行政法规和相关文件的规定。</w:t>
      </w:r>
    </w:p>
    <w:p>
      <w:pPr>
        <w:ind w:firstLine="480"/>
        <w:rPr>
          <w:rFonts w:hint="eastAsia" w:ascii="微软雅黑" w:hAnsi="微软雅黑" w:eastAsia="微软雅黑"/>
          <w:sz w:val="24"/>
          <w:szCs w:val="24"/>
        </w:rPr>
      </w:pPr>
      <w:r>
        <w:rPr>
          <w:rFonts w:hint="eastAsia" w:ascii="微软雅黑" w:hAnsi="微软雅黑" w:eastAsia="微软雅黑"/>
          <w:sz w:val="24"/>
          <w:szCs w:val="24"/>
        </w:rPr>
        <w:t>截至本报告日，全部项目均能正常付息，各项投资资产正常运营，产品流动性良好，风险可控。</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本产品自成立至本报告日，没有发生涉诉及诉讼等损害投资者利益的情形。</w:t>
      </w:r>
    </w:p>
    <w:p>
      <w:pPr>
        <w:rPr>
          <w:rFonts w:ascii="微软雅黑" w:hAnsi="微软雅黑" w:eastAsia="微软雅黑"/>
          <w:b/>
          <w:bCs/>
          <w:sz w:val="28"/>
          <w:szCs w:val="28"/>
        </w:rPr>
      </w:pPr>
      <w:r>
        <w:rPr>
          <w:rFonts w:hint="eastAsia" w:ascii="微软雅黑" w:hAnsi="微软雅黑" w:eastAsia="微软雅黑"/>
          <w:b/>
          <w:bCs/>
          <w:sz w:val="28"/>
          <w:szCs w:val="28"/>
        </w:rPr>
        <w:t>九、投资组合的流动性分析</w:t>
      </w:r>
    </w:p>
    <w:p>
      <w:pPr>
        <w:ind w:firstLine="480"/>
        <w:rPr>
          <w:rFonts w:hint="eastAsia" w:ascii="微软雅黑" w:hAnsi="微软雅黑" w:eastAsia="微软雅黑"/>
          <w:sz w:val="24"/>
          <w:szCs w:val="24"/>
        </w:rPr>
      </w:pPr>
      <w:r>
        <w:rPr>
          <w:rFonts w:hint="eastAsia" w:ascii="微软雅黑" w:hAnsi="微软雅黑" w:eastAsia="微软雅黑"/>
          <w:sz w:val="24"/>
          <w:szCs w:val="24"/>
        </w:rPr>
        <w:t>投资组合的流动性风险是指本产品资金不足履行与负债相关义务的风险。流动性风险主要来源于市场不活跃可能带来市场变现困难或在市场出现剧烈波动的情况下不能以合理价格变现的风险。</w:t>
      </w:r>
    </w:p>
    <w:p>
      <w:pPr>
        <w:ind w:firstLine="480"/>
        <w:rPr>
          <w:rFonts w:hint="eastAsia" w:ascii="微软雅黑" w:hAnsi="微软雅黑" w:eastAsia="微软雅黑"/>
          <w:sz w:val="24"/>
          <w:szCs w:val="24"/>
        </w:rPr>
      </w:pPr>
      <w:r>
        <w:rPr>
          <w:rFonts w:hint="eastAsia" w:ascii="微软雅黑" w:hAnsi="微软雅黑" w:eastAsia="微软雅黑"/>
          <w:sz w:val="24"/>
          <w:szCs w:val="24"/>
        </w:rPr>
        <w:t>本产品管理人将合理安排所投资产的期限，尽可能降低流动性风险，有效保障投资者的利益。</w:t>
      </w:r>
    </w:p>
    <w:p>
      <w:pPr>
        <w:rPr>
          <w:rFonts w:ascii="微软雅黑" w:hAnsi="微软雅黑" w:eastAsia="微软雅黑"/>
          <w:b/>
          <w:bCs/>
          <w:sz w:val="28"/>
          <w:szCs w:val="28"/>
        </w:rPr>
      </w:pPr>
      <w:r>
        <w:rPr>
          <w:rFonts w:hint="eastAsia" w:ascii="微软雅黑" w:hAnsi="微软雅黑" w:eastAsia="微软雅黑"/>
          <w:b/>
          <w:bCs/>
          <w:sz w:val="28"/>
          <w:szCs w:val="28"/>
        </w:rPr>
        <w:t>十、关联交易情况</w:t>
      </w:r>
    </w:p>
    <w:p>
      <w:pPr>
        <w:rPr>
          <w:rFonts w:ascii="微软雅黑" w:hAnsi="微软雅黑" w:eastAsia="微软雅黑"/>
          <w:sz w:val="24"/>
          <w:szCs w:val="24"/>
        </w:rPr>
      </w:pPr>
      <w:r>
        <w:rPr>
          <w:rFonts w:hint="eastAsia" w:ascii="微软雅黑" w:hAnsi="微软雅黑" w:eastAsia="微软雅黑"/>
          <w:sz w:val="24"/>
          <w:szCs w:val="24"/>
        </w:rPr>
        <w:t>10.1 报告期内，本产品投资于关联方发行的债券，投资金额总计</w:t>
      </w:r>
      <w:r>
        <w:rPr>
          <w:rFonts w:hint="eastAsia" w:ascii="微软雅黑" w:hAnsi="微软雅黑" w:eastAsia="微软雅黑" w:cs="Calibri"/>
          <w:kern w:val="2"/>
          <w:sz w:val="24"/>
          <w:szCs w:val="24"/>
          <w:lang w:val="en-US" w:eastAsia="zh-CN" w:bidi="ar-SA"/>
        </w:rPr>
        <w:t>0.00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10.2 报告期内，本产品投资于关联方承销的债券，投资金额总计</w:t>
      </w:r>
      <w:r>
        <w:rPr>
          <w:rFonts w:hint="eastAsia" w:ascii="微软雅黑" w:hAnsi="微软雅黑" w:eastAsia="微软雅黑" w:cs="Calibri"/>
          <w:kern w:val="2"/>
          <w:sz w:val="24"/>
          <w:szCs w:val="24"/>
          <w:lang w:val="en-US" w:eastAsia="zh-CN" w:bidi="ar-SA"/>
        </w:rPr>
        <w:t>1387045.40</w:t>
      </w:r>
      <w:r>
        <w:rPr>
          <w:rFonts w:hint="eastAsia" w:ascii="微软雅黑" w:hAnsi="微软雅黑" w:eastAsia="微软雅黑"/>
          <w:sz w:val="24"/>
          <w:szCs w:val="24"/>
        </w:rPr>
        <w:t>元；</w:t>
      </w:r>
    </w:p>
    <w:p>
      <w:pPr>
        <w:rPr>
          <w:rFonts w:ascii="微软雅黑" w:hAnsi="微软雅黑" w:eastAsia="微软雅黑"/>
          <w:sz w:val="24"/>
          <w:szCs w:val="24"/>
        </w:rPr>
      </w:pPr>
      <w:r>
        <w:rPr>
          <w:rFonts w:hint="eastAsia" w:ascii="微软雅黑" w:hAnsi="微软雅黑" w:eastAsia="微软雅黑"/>
          <w:sz w:val="24"/>
          <w:szCs w:val="24"/>
        </w:rPr>
        <w:t>10.3 报告期内，本产品发生重大关联交易情况：</w:t>
      </w:r>
      <w:r>
        <w:rPr>
          <w:rFonts w:hint="eastAsia" w:ascii="微软雅黑" w:hAnsi="微软雅黑" w:eastAsia="微软雅黑" w:cs="Calibri"/>
          <w:kern w:val="2"/>
          <w:sz w:val="24"/>
          <w:szCs w:val="24"/>
          <w:lang w:val="en-US" w:eastAsia="zh-CN" w:bidi="ar-SA"/>
        </w:rPr>
        <w:t>无</w:t>
      </w:r>
      <w:r>
        <w:rPr>
          <w:rFonts w:hint="eastAsia" w:ascii="微软雅黑" w:hAnsi="微软雅黑" w:eastAsia="微软雅黑"/>
          <w:sz w:val="24"/>
          <w:szCs w:val="24"/>
        </w:rPr>
        <w:t>。</w:t>
      </w:r>
    </w:p>
    <w:p>
      <w:pPr>
        <w:spacing w:before="156" w:beforeLines="50"/>
        <w:rPr>
          <w:rFonts w:ascii="微软雅黑" w:hAnsi="微软雅黑" w:eastAsia="微软雅黑"/>
          <w:b/>
          <w:bCs/>
          <w:sz w:val="28"/>
          <w:szCs w:val="28"/>
        </w:rPr>
      </w:pPr>
      <w:r>
        <w:rPr>
          <w:rFonts w:hint="eastAsia" w:ascii="微软雅黑" w:hAnsi="微软雅黑" w:eastAsia="微软雅黑"/>
          <w:b/>
          <w:bCs/>
          <w:sz w:val="28"/>
          <w:szCs w:val="28"/>
        </w:rPr>
        <w:t>十</w:t>
      </w:r>
      <w:r>
        <w:rPr>
          <w:rFonts w:hint="eastAsia" w:ascii="微软雅黑" w:hAnsi="微软雅黑" w:eastAsia="微软雅黑"/>
          <w:b/>
          <w:bCs/>
          <w:sz w:val="28"/>
          <w:szCs w:val="28"/>
          <w:lang w:val="en-US" w:eastAsia="zh-CN"/>
        </w:rPr>
        <w:t xml:space="preserve"> </w:t>
      </w:r>
      <w:r>
        <w:rPr>
          <w:rFonts w:hint="eastAsia" w:ascii="微软雅黑" w:hAnsi="微软雅黑" w:eastAsia="微软雅黑"/>
          <w:b/>
          <w:bCs/>
          <w:sz w:val="28"/>
          <w:szCs w:val="28"/>
          <w:lang w:eastAsia="zh-CN"/>
        </w:rPr>
        <w:t>一</w:t>
      </w:r>
      <w:r>
        <w:rPr>
          <w:rFonts w:hint="eastAsia" w:ascii="微软雅黑" w:hAnsi="微软雅黑" w:eastAsia="微软雅黑"/>
          <w:b/>
          <w:bCs/>
          <w:sz w:val="28"/>
          <w:szCs w:val="28"/>
        </w:rPr>
        <w:t>、托管人报告</w:t>
      </w:r>
    </w:p>
    <w:p>
      <w:pPr>
        <w:rPr>
          <w:rFonts w:hint="eastAsia" w:ascii="微软雅黑" w:hAnsi="微软雅黑" w:eastAsia="微软雅黑" w:cs="Calibri"/>
          <w:kern w:val="2"/>
          <w:sz w:val="28"/>
          <w:szCs w:val="28"/>
          <w:lang w:val="en-US" w:eastAsia="zh-CN" w:bidi="ar-SA"/>
        </w:rPr>
      </w:pPr>
      <w:r>
        <w:rPr>
          <w:rFonts w:hint="eastAsia" w:ascii="微软雅黑" w:hAnsi="微软雅黑" w:eastAsia="微软雅黑"/>
          <w:sz w:val="28"/>
          <w:szCs w:val="28"/>
        </w:rPr>
        <w:t xml:space="preserve"> </w:t>
      </w:r>
      <w:r>
        <w:rPr>
          <w:rFonts w:hint="eastAsia" w:ascii="微软雅黑" w:hAnsi="微软雅黑" w:eastAsia="微软雅黑"/>
          <w:sz w:val="28"/>
          <w:szCs w:val="28"/>
          <w:lang w:val="en-US" w:eastAsia="zh-CN"/>
        </w:rPr>
        <w:t xml:space="preserve">    </w:t>
      </w:r>
      <w:r>
        <w:rPr>
          <w:rFonts w:hint="eastAsia" w:ascii="微软雅黑" w:hAnsi="微软雅黑" w:eastAsia="微软雅黑"/>
          <w:sz w:val="28"/>
          <w:szCs w:val="28"/>
        </w:rPr>
        <w:t xml:space="preserve"> </w:t>
      </w:r>
      <w:r>
        <w:rPr>
          <w:rFonts w:hint="eastAsia" w:ascii="微软雅黑" w:hAnsi="微软雅黑" w:eastAsia="微软雅黑"/>
          <w:sz w:val="24"/>
          <w:szCs w:val="24"/>
          <w:lang w:val="en-US" w:eastAsia="zh-CN"/>
        </w:rPr>
        <w:t>在报告期内，托管人严格遵守有关法律法规规定、理财产品托管协议的约定，诚实信用、 勤勉尽责地履行了托管人职责。托管人对管理人报告中的穿透前财务数据进行了复核，未发现存在虚假记载、误导性陈述或者重大遗漏的情形。</w:t>
      </w:r>
    </w:p>
    <w:p>
      <w:pPr>
        <w:rPr>
          <w:rFonts w:hint="default" w:ascii="微软雅黑" w:hAnsi="微软雅黑" w:eastAsia="微软雅黑" w:cs="Calibri"/>
          <w:kern w:val="2"/>
          <w:sz w:val="28"/>
          <w:szCs w:val="28"/>
          <w:lang w:val="en-US" w:eastAsia="zh-CN" w:bidi="ar-SA"/>
        </w:rPr>
      </w:pPr>
      <w:r>
        <w:rPr>
          <w:rFonts w:hint="eastAsia" w:ascii="微软雅黑" w:hAnsi="微软雅黑" w:eastAsia="微软雅黑" w:cs="Calibri"/>
          <w:kern w:val="2"/>
          <w:sz w:val="28"/>
          <w:szCs w:val="28"/>
          <w:lang w:val="en-US" w:eastAsia="zh-CN" w:bidi="ar-SA"/>
        </w:rPr>
        <w:t xml:space="preserve">                                                                  广东华润银行股份有限公司</w:t>
      </w:r>
    </w:p>
    <w:p>
      <w:pPr>
        <w:rPr>
          <w:rFonts w:hint="default" w:eastAsia="宋体"/>
          <w:lang w:val="en-US" w:eastAsia="zh-CN"/>
        </w:rPr>
      </w:pPr>
      <w:r>
        <w:rPr>
          <w:rFonts w:hint="eastAsia"/>
          <w:lang w:val="en-US" w:eastAsia="zh-CN"/>
        </w:rPr>
        <w:t xml:space="preserve">                                                                                                                             </w:t>
      </w:r>
      <w:r>
        <w:rPr>
          <w:rFonts w:hint="eastAsia" w:ascii="微软雅黑" w:hAnsi="微软雅黑" w:eastAsia="微软雅黑" w:cs="微软雅黑"/>
          <w:kern w:val="2"/>
          <w:sz w:val="28"/>
          <w:szCs w:val="28"/>
          <w:lang w:val="en-US" w:eastAsia="zh-CN" w:bidi="ar-SA"/>
        </w:rPr>
        <w:t>2026年08月07日</w:t>
      </w:r>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72EF59"/>
    <w:multiLevelType w:val="singleLevel"/>
    <w:tmpl w:val="0072EF5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720"/>
  <w:drawingGridVerticalSpacing w:val="156"/>
  <w:noPunctuationKerning w:val="1"/>
  <w:characterSpacingControl w:val="doNotCompress"/>
  <w:compat>
    <w:doNotLeaveBackslashAlone/>
    <w:ulTrailSpac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7FBBDF9"/>
    <w:rsid w:val="7FFD81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annotation reference"/>
    <w:basedOn w:val="5"/>
    <w:semiHidden/>
    <w:unhideWhenUsed/>
    <w:qFormat/>
    <w:uiPriority w:val="99"/>
    <w:rPr>
      <w:sz w:val="21"/>
      <w:szCs w:val="21"/>
    </w:rPr>
  </w:style>
  <w:style w:type="paragraph" w:customStyle="1" w:styleId="7">
    <w:name w:val="列出段落1"/>
    <w:basedOn w:val="1"/>
    <w:qFormat/>
    <w:uiPriority w:val="0"/>
    <w:pPr>
      <w:ind w:firstLine="420"/>
    </w:pPr>
    <w:rPr>
      <w:rFonts w:cs="Times New Roman"/>
    </w:rPr>
  </w:style>
  <w:style w:type="character" w:customStyle="1" w:styleId="8">
    <w:name w:val="10"/>
    <w:basedOn w:val="5"/>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18</TotalTime>
  <ScaleCrop>false</ScaleCrop>
  <LinksUpToDate>false</LinksUpToDate>
  <CharactersWithSpaces>0</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2023-12-06T18:06:00Z</dcterms:created>
  <dc:creator>chenjianjiewb</dc:creator>
  <cp:lastModifiedBy>fangyukai</cp:lastModifiedBy>
  <dcterms:modified xsi:type="dcterms:W3CDTF">2026-08-06T16:23:22Z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912EFE3CED8FF56F9543746A25B0936A</vt:lpwstr>
  </property>
  <property fmtid="{D5CDD505-2E9C-101B-9397-08002B2CF9AE}" pid="3" name="KSOProductBuildVer">
    <vt:lpwstr>2052-11.8.2.12185</vt:lpwstr>
  </property>
</Properties>
</file>