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b/>
          <w:bCs/>
          <w:sz w:val="32"/>
          <w:szCs w:val="32"/>
        </w:rPr>
      </w:pPr>
      <w:bookmarkStart w:id="0" w:name="_GoBack"/>
      <w:bookmarkEnd w:id="0"/>
      <w:r>
        <w:rPr>
          <w:rFonts w:hint="eastAsia" w:ascii="微软雅黑" w:hAnsi="微软雅黑" w:eastAsia="微软雅黑" w:cs="微软雅黑"/>
          <w:b/>
          <w:bCs/>
          <w:sz w:val="32"/>
          <w:szCs w:val="32"/>
        </w:rPr>
        <w:t xml:space="preserve">日日润金人民币理财计划 </w:t>
      </w:r>
    </w:p>
    <w:p>
      <w:pPr>
        <w:rPr>
          <w:rFonts w:ascii="微软雅黑" w:hAnsi="微软雅黑" w:eastAsia="微软雅黑"/>
          <w:b/>
          <w:bCs/>
          <w:sz w:val="28"/>
          <w:szCs w:val="28"/>
        </w:rPr>
      </w:pPr>
      <w:r>
        <w:rPr>
          <w:rFonts w:hint="eastAsia" w:ascii="微软雅黑" w:hAnsi="微软雅黑" w:eastAsia="微软雅黑"/>
          <w:b/>
          <w:bCs/>
          <w:sz w:val="28"/>
          <w:szCs w:val="28"/>
        </w:rPr>
        <w:t xml:space="preserve">                                           2025年第3季度报告</w:t>
      </w:r>
    </w:p>
    <w:p>
      <w:pPr>
        <w:rPr>
          <w:rFonts w:ascii="微软雅黑" w:hAnsi="微软雅黑" w:eastAsia="微软雅黑"/>
          <w:b/>
          <w:bCs/>
          <w:sz w:val="28"/>
          <w:szCs w:val="28"/>
        </w:rPr>
      </w:pPr>
      <w:r>
        <w:rPr>
          <w:rFonts w:hint="eastAsia" w:ascii="微软雅黑" w:hAnsi="微软雅黑" w:eastAsia="微软雅黑"/>
          <w:b/>
          <w:bCs/>
          <w:sz w:val="28"/>
          <w:szCs w:val="28"/>
        </w:rPr>
        <w:t>一、重要提示</w:t>
      </w:r>
    </w:p>
    <w:p>
      <w:pPr>
        <w:pStyle w:val="7"/>
        <w:ind w:firstLine="480"/>
        <w:rPr>
          <w:rFonts w:ascii="微软雅黑" w:hAnsi="微软雅黑" w:eastAsia="微软雅黑" w:cs="Calibri"/>
          <w:sz w:val="24"/>
          <w:szCs w:val="24"/>
        </w:rPr>
      </w:pPr>
      <w:r>
        <w:rPr>
          <w:rFonts w:hint="eastAsia" w:ascii="微软雅黑" w:hAnsi="微软雅黑" w:eastAsia="微软雅黑" w:cs="Calibri"/>
          <w:sz w:val="24"/>
          <w:szCs w:val="24"/>
        </w:rPr>
        <w:t>产品管理人承诺以诚实信用、勤勉尽责的原则管理和运用产品资产，但不保证产品一定盈利。</w:t>
      </w:r>
    </w:p>
    <w:p>
      <w:pPr>
        <w:ind w:firstLine="480"/>
        <w:rPr>
          <w:rFonts w:ascii="微软雅黑" w:hAnsi="微软雅黑" w:eastAsia="微软雅黑"/>
          <w:sz w:val="24"/>
          <w:szCs w:val="24"/>
        </w:rPr>
      </w:pPr>
      <w:r>
        <w:rPr>
          <w:rFonts w:hint="eastAsia" w:ascii="微软雅黑" w:hAnsi="微软雅黑" w:eastAsia="微软雅黑"/>
          <w:sz w:val="24"/>
          <w:szCs w:val="24"/>
        </w:rPr>
        <w:t>本产品为净值型产品，业绩表现将随市场波动，具有不确定性，理财产品过往业绩并不代表其未来表现，不等于理财产品实际收益。</w:t>
      </w:r>
      <w:r>
        <w:rPr>
          <w:rFonts w:hint="eastAsia" w:ascii="微软雅黑" w:hAnsi="微软雅黑" w:eastAsia="微软雅黑"/>
          <w:b/>
          <w:bCs/>
          <w:sz w:val="24"/>
          <w:szCs w:val="24"/>
        </w:rPr>
        <w:t>理财非存款、产品有风险、投资须谨慎</w:t>
      </w:r>
      <w:r>
        <w:rPr>
          <w:rFonts w:hint="eastAsia" w:ascii="微软雅黑" w:hAnsi="微软雅黑" w:eastAsia="微软雅黑"/>
          <w:sz w:val="24"/>
          <w:szCs w:val="24"/>
        </w:rPr>
        <w:t>，投资者在做出投资决策前应仔细阅读本产品的销售文件。</w:t>
      </w:r>
    </w:p>
    <w:p>
      <w:pPr>
        <w:pStyle w:val="7"/>
        <w:rPr>
          <w:rFonts w:ascii="微软雅黑" w:hAnsi="微软雅黑" w:eastAsia="微软雅黑" w:cs="Calibri"/>
          <w:sz w:val="24"/>
          <w:szCs w:val="24"/>
        </w:rPr>
      </w:pPr>
      <w:r>
        <w:rPr>
          <w:rFonts w:hint="eastAsia" w:ascii="微软雅黑" w:hAnsi="微软雅黑" w:eastAsia="微软雅黑" w:cs="Calibri"/>
          <w:sz w:val="24"/>
          <w:szCs w:val="24"/>
        </w:rPr>
        <w:t>本报告中财务资料未经审计。</w:t>
      </w:r>
    </w:p>
    <w:p>
      <w:pPr>
        <w:rPr>
          <w:rFonts w:ascii="微软雅黑" w:hAnsi="微软雅黑" w:eastAsia="微软雅黑"/>
          <w:b/>
          <w:bCs/>
          <w:sz w:val="28"/>
          <w:szCs w:val="28"/>
        </w:rPr>
      </w:pPr>
      <w:r>
        <w:rPr>
          <w:rFonts w:hint="eastAsia" w:ascii="微软雅黑" w:hAnsi="微软雅黑" w:eastAsia="微软雅黑"/>
          <w:b/>
          <w:bCs/>
          <w:sz w:val="28"/>
          <w:szCs w:val="28"/>
        </w:rPr>
        <w:t>二、产品概况</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60"/>
        <w:gridCol w:w="4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color w:val="000000"/>
                <w:sz w:val="24"/>
              </w:rPr>
              <w:t>产品名称</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color w:val="000000"/>
                <w:sz w:val="24"/>
              </w:rPr>
              <w:t>日日润金人民币理财计划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color w:val="000000"/>
                <w:sz w:val="24"/>
              </w:rPr>
              <w:t>产品代码</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color w:val="000000"/>
                <w:sz w:val="24"/>
              </w:rPr>
              <w:t>RRRJ001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color w:val="000000"/>
                <w:sz w:val="24"/>
              </w:rPr>
              <w:t>产品登记编码</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color w:val="000000"/>
                <w:sz w:val="24"/>
              </w:rPr>
              <w:t>C1082915000551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color w:val="000000"/>
                <w:sz w:val="24"/>
              </w:rPr>
              <w:t>产品成立日</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color w:val="000000"/>
                <w:sz w:val="24"/>
              </w:rPr>
              <w:t>2015年10月23日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color w:val="000000"/>
                <w:sz w:val="24"/>
              </w:rPr>
              <w:t>风险等级</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color w:val="000000"/>
                <w:sz w:val="24"/>
              </w:rPr>
              <w:t>一级(低)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color w:val="000000"/>
                <w:sz w:val="24"/>
              </w:rPr>
              <w:t>报告期末产品份额总额</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color w:val="000000"/>
                <w:sz w:val="24"/>
              </w:rPr>
              <w:t>2,749,790,164.11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color w:val="000000"/>
                <w:sz w:val="24"/>
              </w:rPr>
              <w:t>产品管理人</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color w:val="000000"/>
                <w:sz w:val="24"/>
              </w:rPr>
              <w:t>珠海华润银行股份有限公司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color w:val="000000"/>
                <w:sz w:val="24"/>
              </w:rPr>
              <w:t>产品托管人</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color w:val="000000"/>
                <w:sz w:val="24"/>
              </w:rPr>
              <w:t>宁波银行股份有限公司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color w:val="000000"/>
                <w:sz w:val="24"/>
              </w:rPr>
              <w:t>杠杆水平</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color w:val="000000"/>
                <w:sz w:val="24"/>
              </w:rPr>
              <w:t>103.24%</w:t>
            </w:r>
          </w:p>
        </w:tc>
      </w:tr>
    </w:tbl>
    <w:p>
      <w:pPr>
        <w:ind w:firstLine="480"/>
        <w:rPr>
          <w:rFonts w:ascii="微软雅黑" w:hAnsi="微软雅黑" w:eastAsia="微软雅黑"/>
        </w:rPr>
      </w:pPr>
      <w:r>
        <w:rPr>
          <w:rFonts w:hint="eastAsia" w:ascii="微软雅黑" w:hAnsi="微软雅黑" w:eastAsia="微软雅黑"/>
        </w:rPr>
        <w:t>注：业绩比较基准是管理人基于产品性质、投资策略、过往经验等因素对产品设定的投资目标，不代表产品的未来表现和实际收益，不构成对产品收益的承诺。投资者不应将业绩比较基准作为持有产品份额到期的综合投资收益参考值。</w:t>
      </w:r>
    </w:p>
    <w:p>
      <w:pPr>
        <w:rPr>
          <w:rFonts w:ascii="微软雅黑" w:hAnsi="微软雅黑" w:eastAsia="微软雅黑" w:cs="Times New Roman"/>
          <w:b/>
          <w:bCs/>
          <w:sz w:val="28"/>
          <w:szCs w:val="28"/>
        </w:rPr>
      </w:pPr>
      <w:r>
        <w:rPr>
          <w:rFonts w:hint="eastAsia" w:ascii="微软雅黑" w:hAnsi="微软雅黑" w:eastAsia="微软雅黑"/>
          <w:b/>
          <w:bCs/>
          <w:sz w:val="28"/>
          <w:szCs w:val="28"/>
        </w:rPr>
        <w:t>三、产品净值表现</w:t>
      </w:r>
    </w:p>
    <w:tbl>
      <w:tblPr>
        <w:tblStyle w:val="3"/>
        <w:tblW w:w="494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89"/>
        <w:gridCol w:w="6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89" w:type="dxa"/>
            <w:tcBorders>
              <w:top w:val="single" w:color="auto" w:sz="4" w:space="0"/>
              <w:left w:val="single" w:color="auto" w:sz="4" w:space="0"/>
              <w:bottom w:val="single" w:color="auto" w:sz="4" w:space="0"/>
              <w:right w:val="single" w:color="auto" w:sz="4" w:space="0"/>
            </w:tcBorders>
            <w:vAlign w:val="center"/>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产品净值表现</w:t>
            </w:r>
          </w:p>
        </w:tc>
        <w:tc>
          <w:tcPr>
            <w:tcW w:w="6258" w:type="dxa"/>
            <w:tcBorders>
              <w:top w:val="single" w:color="auto" w:sz="4" w:space="0"/>
              <w:left w:val="nil"/>
              <w:bottom w:val="single" w:color="auto" w:sz="4" w:space="0"/>
              <w:right w:val="single" w:color="auto" w:sz="4" w:space="0"/>
            </w:tcBorders>
          </w:tcPr>
          <w:p>
            <w:pPr>
              <w:pStyle w:val="7"/>
              <w:ind w:firstLine="2400" w:firstLineChars="1000"/>
              <w:rPr>
                <w:rStyle w:val="8"/>
                <w:rFonts w:ascii="微软雅黑" w:hAnsi="微软雅黑" w:eastAsia="微软雅黑"/>
                <w:sz w:val="24"/>
                <w:szCs w:val="24"/>
              </w:rPr>
            </w:pPr>
            <w:r>
              <w:rPr>
                <w:rFonts w:hint="eastAsia" w:ascii="微软雅黑" w:hAnsi="微软雅黑" w:eastAsia="微软雅黑"/>
                <w:sz w:val="24"/>
                <w:szCs w:val="24"/>
              </w:rPr>
              <w:t>报告期</w:t>
            </w:r>
          </w:p>
          <w:p>
            <w:pPr>
              <w:pStyle w:val="7"/>
              <w:ind w:firstLine="240" w:firstLineChars="100"/>
              <w:rPr>
                <w:rStyle w:val="8"/>
                <w:rFonts w:ascii="微软雅黑" w:hAnsi="微软雅黑" w:eastAsia="微软雅黑"/>
                <w:sz w:val="24"/>
                <w:szCs w:val="24"/>
              </w:rPr>
            </w:pPr>
            <w:r>
              <w:rPr>
                <w:rFonts w:hint="eastAsia" w:ascii="微软雅黑" w:hAnsi="微软雅黑" w:eastAsia="微软雅黑"/>
                <w:sz w:val="24"/>
                <w:szCs w:val="24"/>
              </w:rPr>
              <w:t xml:space="preserve">2025年07月01日 </w:t>
            </w:r>
            <w:r>
              <w:rPr>
                <w:rFonts w:ascii="微软雅黑" w:hAnsi="微软雅黑" w:eastAsia="微软雅黑"/>
                <w:sz w:val="24"/>
                <w:szCs w:val="24"/>
              </w:rPr>
              <w:t>至</w:t>
            </w:r>
            <w:r>
              <w:rPr>
                <w:rFonts w:hint="eastAsia" w:ascii="微软雅黑" w:hAnsi="微软雅黑" w:eastAsia="微软雅黑"/>
                <w:sz w:val="24"/>
                <w:szCs w:val="24"/>
              </w:rPr>
              <w:t xml:space="preserve"> 2025年09月30日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1.期末产品资产净值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sz w:val="24"/>
                <w:szCs w:val="24"/>
              </w:rPr>
              <w:t>2,749,790,164.11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2.期末产品份额净值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sz w:val="24"/>
                <w:szCs w:val="24"/>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3.期末产品份额累计净值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sz w:val="24"/>
                <w:szCs w:val="24"/>
              </w:rPr>
              <w:t>1.0000</w:t>
            </w:r>
          </w:p>
        </w:tc>
      </w:tr>
    </w:tbl>
    <w:p>
      <w:pPr>
        <w:spacing w:before="156" w:beforeLines="50"/>
        <w:rPr>
          <w:rFonts w:ascii="微软雅黑" w:hAnsi="微软雅黑" w:eastAsia="微软雅黑" w:cs="Times New Roman"/>
          <w:b/>
          <w:bCs/>
          <w:sz w:val="28"/>
          <w:szCs w:val="28"/>
        </w:rPr>
      </w:pPr>
      <w:r>
        <w:rPr>
          <w:rFonts w:hint="eastAsia" w:ascii="微软雅黑" w:hAnsi="微软雅黑" w:eastAsia="微软雅黑"/>
          <w:b/>
          <w:bCs/>
          <w:sz w:val="28"/>
          <w:szCs w:val="28"/>
        </w:rPr>
        <w:t>四、投资情况</w:t>
      </w:r>
    </w:p>
    <w:tbl>
      <w:tblPr>
        <w:tblStyle w:val="3"/>
        <w:tblW w:w="493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1"/>
        <w:gridCol w:w="2250"/>
        <w:gridCol w:w="1501"/>
        <w:gridCol w:w="2375"/>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restart"/>
            <w:tcBorders>
              <w:top w:val="single" w:color="auto" w:sz="4" w:space="0"/>
              <w:left w:val="single" w:color="auto" w:sz="4" w:space="0"/>
              <w:bottom w:val="single" w:color="auto" w:sz="4" w:space="0"/>
              <w:right w:val="single" w:color="auto" w:sz="4" w:space="0"/>
            </w:tcBorders>
            <w:vAlign w:val="center"/>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项  目</w:t>
            </w:r>
          </w:p>
        </w:tc>
        <w:tc>
          <w:tcPr>
            <w:tcW w:w="3752" w:type="dxa"/>
            <w:gridSpan w:val="2"/>
            <w:tcBorders>
              <w:top w:val="single" w:color="auto" w:sz="4" w:space="0"/>
              <w:left w:val="nil"/>
              <w:bottom w:val="single" w:color="auto" w:sz="4" w:space="0"/>
              <w:right w:val="single" w:color="auto" w:sz="4" w:space="0"/>
            </w:tcBorders>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直接投资</w:t>
            </w:r>
          </w:p>
        </w:tc>
        <w:tc>
          <w:tcPr>
            <w:tcW w:w="3960" w:type="dxa"/>
            <w:gridSpan w:val="2"/>
            <w:tcBorders>
              <w:top w:val="single" w:color="auto" w:sz="4" w:space="0"/>
              <w:left w:val="nil"/>
              <w:bottom w:val="single" w:color="auto" w:sz="4" w:space="0"/>
              <w:right w:val="single" w:color="auto" w:sz="4" w:space="0"/>
            </w:tcBorders>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间接投资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Style w:val="8"/>
                <w:rFonts w:ascii="微软雅黑" w:hAnsi="微软雅黑" w:eastAsia="微软雅黑"/>
                <w:sz w:val="24"/>
                <w:szCs w:val="24"/>
              </w:rPr>
            </w:pPr>
          </w:p>
        </w:tc>
        <w:tc>
          <w:tcPr>
            <w:tcW w:w="2251"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资产余额（元）</w:t>
            </w:r>
          </w:p>
        </w:tc>
        <w:tc>
          <w:tcPr>
            <w:tcW w:w="1501"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占产品总资产的比例</w:t>
            </w:r>
          </w:p>
        </w:tc>
        <w:tc>
          <w:tcPr>
            <w:tcW w:w="2375"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资产余额（元）</w:t>
            </w:r>
          </w:p>
        </w:tc>
        <w:tc>
          <w:tcPr>
            <w:tcW w:w="1585"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占产品总资产的比例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1. 固定收益类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sz w:val="24"/>
                <w:szCs w:val="24"/>
              </w:rPr>
              <w:t>2,838,977,477.50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sz w:val="24"/>
                <w:szCs w:val="24"/>
              </w:rPr>
              <w:t>100.00%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sz w:val="24"/>
                <w:szCs w:val="24"/>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其中：</w:t>
            </w:r>
          </w:p>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现金及货币工具</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sz w:val="24"/>
                <w:szCs w:val="24"/>
              </w:rPr>
              <w:t>1,055,351,218.54</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sz w:val="24"/>
                <w:szCs w:val="24"/>
              </w:rPr>
              <w:t>37.17%</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sz w:val="24"/>
                <w:szCs w:val="24"/>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债券类资产</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sz w:val="24"/>
                <w:szCs w:val="24"/>
              </w:rPr>
              <w:t>1,783,626,258.96</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sz w:val="24"/>
                <w:szCs w:val="24"/>
              </w:rPr>
              <w:t>62.83%</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sz w:val="24"/>
                <w:szCs w:val="24"/>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非标准化债权</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sz w:val="24"/>
                <w:szCs w:val="24"/>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sz w:val="24"/>
                <w:szCs w:val="24"/>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sz w:val="24"/>
                <w:szCs w:val="24"/>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其他投资</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sz w:val="24"/>
                <w:szCs w:val="24"/>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sz w:val="24"/>
                <w:szCs w:val="24"/>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sz w:val="24"/>
                <w:szCs w:val="24"/>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2.权益类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sz w:val="24"/>
                <w:szCs w:val="24"/>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sz w:val="24"/>
                <w:szCs w:val="24"/>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sz w:val="24"/>
                <w:szCs w:val="24"/>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3.商品及金融衍生品类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sz w:val="24"/>
                <w:szCs w:val="24"/>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sz w:val="24"/>
                <w:szCs w:val="24"/>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sz w:val="24"/>
                <w:szCs w:val="24"/>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vAlign w:val="center"/>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合计</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sz w:val="24"/>
                <w:szCs w:val="24"/>
              </w:rPr>
              <w:t>2,838,977,477.50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sz w:val="24"/>
                <w:szCs w:val="24"/>
              </w:rPr>
              <w:t>100.00%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sz w:val="24"/>
                <w:szCs w:val="24"/>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sz w:val="24"/>
                <w:szCs w:val="24"/>
              </w:rPr>
              <w:t>0.00%</w:t>
            </w:r>
          </w:p>
        </w:tc>
      </w:tr>
    </w:tbl>
    <w:p>
      <w:pPr>
        <w:numPr>
          <w:ilvl w:val="0"/>
          <w:numId w:val="1"/>
        </w:numPr>
        <w:spacing w:before="156" w:beforeLines="50"/>
        <w:jc w:val="left"/>
        <w:rPr>
          <w:rFonts w:ascii="微软雅黑" w:hAnsi="微软雅黑" w:eastAsia="微软雅黑"/>
          <w:b/>
          <w:bCs/>
          <w:sz w:val="28"/>
          <w:szCs w:val="28"/>
        </w:rPr>
      </w:pPr>
      <w:r>
        <w:rPr>
          <w:rFonts w:hint="eastAsia" w:ascii="微软雅黑" w:hAnsi="微软雅黑" w:eastAsia="微软雅黑"/>
          <w:b/>
          <w:bCs/>
          <w:sz w:val="28"/>
          <w:szCs w:val="28"/>
        </w:rPr>
        <w:t>报告期末按公允价值占理财产品资产净值比例大小排序的前十项资产投资明细</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5"/>
        <w:gridCol w:w="3750"/>
        <w:gridCol w:w="2820"/>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color w:val="000000"/>
                <w:sz w:val="24"/>
              </w:rPr>
              <w:t>序号</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color w:val="000000"/>
                <w:sz w:val="24"/>
              </w:rPr>
              <w:t>资产名称</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color w:val="000000"/>
                <w:sz w:val="24"/>
              </w:rPr>
              <w:t>资产余额（元）</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color w:val="000000"/>
                <w:sz w:val="24"/>
              </w:rPr>
              <w:t>资产占比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color w:val="000000"/>
                <w:sz w:val="24"/>
              </w:rPr>
              <w:t>1</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color w:val="000000"/>
                <w:sz w:val="24"/>
              </w:rPr>
              <w:t>买入返售金融资产</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color w:val="000000"/>
                <w:sz w:val="24"/>
              </w:rPr>
              <w:t xml:space="preserve">758,169,226.79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color w:val="000000"/>
                <w:sz w:val="24"/>
              </w:rPr>
              <w:t>27.57%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color w:val="000000"/>
                <w:sz w:val="24"/>
              </w:rPr>
              <w:t>2</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color w:val="000000"/>
                <w:sz w:val="24"/>
              </w:rPr>
              <w:t>活期存款</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color w:val="000000"/>
                <w:sz w:val="24"/>
              </w:rPr>
              <w:t xml:space="preserve">297,181,991.75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color w:val="000000"/>
                <w:sz w:val="24"/>
              </w:rPr>
              <w:t>10.81%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color w:val="000000"/>
                <w:sz w:val="24"/>
              </w:rPr>
              <w:t>3</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color w:val="000000"/>
                <w:sz w:val="24"/>
              </w:rPr>
              <w:t>25粤珠江SCP004</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color w:val="000000"/>
                <w:sz w:val="24"/>
              </w:rPr>
              <w:t xml:space="preserve">160,547,137.35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color w:val="000000"/>
                <w:sz w:val="24"/>
              </w:rPr>
              <w:t>5.84%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color w:val="000000"/>
                <w:sz w:val="24"/>
              </w:rPr>
              <w:t>4</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color w:val="000000"/>
                <w:sz w:val="24"/>
              </w:rPr>
              <w:t>25南京银行CD028</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color w:val="000000"/>
                <w:sz w:val="24"/>
              </w:rPr>
              <w:t xml:space="preserve">99,795,642.12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color w:val="000000"/>
                <w:sz w:val="24"/>
              </w:rPr>
              <w:t>3.63%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color w:val="000000"/>
                <w:sz w:val="24"/>
              </w:rPr>
              <w:t>5</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color w:val="000000"/>
                <w:sz w:val="24"/>
              </w:rPr>
              <w:t>25萧山农商银行CD028</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color w:val="000000"/>
                <w:sz w:val="24"/>
              </w:rPr>
              <w:t xml:space="preserve">99,225,771.08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color w:val="000000"/>
                <w:sz w:val="24"/>
              </w:rPr>
              <w:t>3.61%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color w:val="000000"/>
                <w:sz w:val="24"/>
              </w:rPr>
              <w:t>6</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color w:val="000000"/>
                <w:sz w:val="24"/>
              </w:rPr>
              <w:t>25东莞农村商业银行CD065</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color w:val="000000"/>
                <w:sz w:val="24"/>
              </w:rPr>
              <w:t xml:space="preserve">98,982,786.46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color w:val="000000"/>
                <w:sz w:val="24"/>
              </w:rPr>
              <w:t>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color w:val="000000"/>
                <w:sz w:val="24"/>
              </w:rPr>
              <w:t>7</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color w:val="000000"/>
                <w:sz w:val="24"/>
              </w:rPr>
              <w:t>25重庆银行CD026</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color w:val="000000"/>
                <w:sz w:val="24"/>
              </w:rPr>
              <w:t xml:space="preserve">98,937,294.48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color w:val="000000"/>
                <w:sz w:val="24"/>
              </w:rPr>
              <w:t>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color w:val="000000"/>
                <w:sz w:val="24"/>
              </w:rPr>
              <w:t>8</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color w:val="000000"/>
                <w:sz w:val="24"/>
              </w:rPr>
              <w:t>25广发银行CD227</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color w:val="000000"/>
                <w:sz w:val="24"/>
              </w:rPr>
              <w:t xml:space="preserve">98,936,145.73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color w:val="000000"/>
                <w:sz w:val="24"/>
              </w:rPr>
              <w:t>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color w:val="000000"/>
                <w:sz w:val="24"/>
              </w:rPr>
              <w:t>9</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color w:val="000000"/>
                <w:sz w:val="24"/>
              </w:rPr>
              <w:t>25农业银行CD321</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color w:val="000000"/>
                <w:sz w:val="24"/>
              </w:rPr>
              <w:t xml:space="preserve">98,818,249.34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color w:val="000000"/>
                <w:sz w:val="24"/>
              </w:rPr>
              <w:t>3.59%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color w:val="000000"/>
                <w:sz w:val="24"/>
              </w:rPr>
              <w:t>10</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color w:val="000000"/>
                <w:sz w:val="24"/>
              </w:rPr>
              <w:t>25中国银行CD046</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color w:val="000000"/>
                <w:sz w:val="24"/>
              </w:rPr>
              <w:t xml:space="preserve">98,687,261.40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color w:val="000000"/>
                <w:sz w:val="24"/>
              </w:rPr>
              <w:t>3.59%</w:t>
            </w:r>
          </w:p>
        </w:tc>
      </w:tr>
    </w:tbl>
    <w:p/>
    <w:p>
      <w:pPr>
        <w:rPr>
          <w:rFonts w:ascii="微软雅黑" w:hAnsi="微软雅黑" w:eastAsia="微软雅黑"/>
          <w:b/>
          <w:bCs/>
          <w:sz w:val="28"/>
          <w:szCs w:val="28"/>
        </w:rPr>
      </w:pPr>
      <w:r>
        <w:rPr>
          <w:rFonts w:hint="eastAsia" w:ascii="微软雅黑" w:hAnsi="微软雅黑" w:eastAsia="微软雅黑"/>
          <w:b/>
          <w:bCs/>
          <w:sz w:val="28"/>
          <w:szCs w:val="28"/>
        </w:rPr>
        <w:t xml:space="preserve">六、报告期内投资的非标准化债权类资产信息 </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5"/>
        <w:gridCol w:w="2070"/>
        <w:gridCol w:w="2115"/>
        <w:gridCol w:w="1320"/>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35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color w:val="000000"/>
                <w:sz w:val="24"/>
              </w:rPr>
              <w:t>产品名称</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color w:val="000000"/>
                <w:sz w:val="24"/>
              </w:rPr>
              <w:t>项目名称</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color w:val="000000"/>
                <w:sz w:val="24"/>
              </w:rPr>
              <w:t>融资客户名称</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color w:val="000000"/>
                <w:sz w:val="24"/>
              </w:rPr>
              <w:t>剩余融资期限（天）</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color w:val="000000"/>
                <w:sz w:val="24"/>
              </w:rPr>
              <w:t>交易结构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35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color w:val="000000"/>
                <w:sz w:val="24"/>
              </w:rPr>
              <w:t>-</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color w:val="000000"/>
                <w:sz w:val="24"/>
              </w:rPr>
              <w:t>-</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color w:val="000000"/>
                <w:sz w:val="24"/>
              </w:rPr>
              <w:t>-</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color w:val="000000"/>
                <w:sz w:val="24"/>
              </w:rPr>
              <w:t>-</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color w:val="000000"/>
                <w:sz w:val="24"/>
              </w:rPr>
              <w:t>-</w:t>
            </w:r>
          </w:p>
        </w:tc>
      </w:tr>
    </w:tbl>
    <w:p>
      <w:pPr>
        <w:spacing w:before="156" w:beforeLines="50"/>
        <w:rPr>
          <w:rFonts w:ascii="微软雅黑" w:hAnsi="微软雅黑" w:eastAsia="微软雅黑"/>
          <w:b/>
          <w:bCs/>
          <w:sz w:val="28"/>
          <w:szCs w:val="28"/>
        </w:rPr>
      </w:pPr>
      <w:r>
        <w:rPr>
          <w:rFonts w:hint="eastAsia" w:ascii="微软雅黑" w:hAnsi="微软雅黑" w:eastAsia="微软雅黑"/>
          <w:b/>
          <w:bCs/>
          <w:sz w:val="28"/>
          <w:szCs w:val="28"/>
        </w:rPr>
        <w:t>七、投资账户信息</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5"/>
        <w:gridCol w:w="3485"/>
        <w:gridCol w:w="2491"/>
        <w:gridCol w:w="2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tcPr>
          <w:p>
            <w:pPr>
              <w:jc w:val="center"/>
              <w:rPr>
                <w:rFonts w:ascii="微软雅黑" w:hAnsi="微软雅黑" w:eastAsia="微软雅黑"/>
                <w:sz w:val="22"/>
                <w:szCs w:val="22"/>
              </w:rPr>
            </w:pPr>
            <w:r>
              <w:rPr>
                <w:rFonts w:hint="eastAsia" w:ascii="微软雅黑" w:hAnsi="微软雅黑" w:eastAsia="微软雅黑"/>
                <w:sz w:val="22"/>
                <w:szCs w:val="22"/>
              </w:rPr>
              <w:t>账户类型</w:t>
            </w:r>
          </w:p>
        </w:tc>
        <w:tc>
          <w:tcPr>
            <w:tcW w:w="3485" w:type="dxa"/>
          </w:tcPr>
          <w:p>
            <w:pPr>
              <w:jc w:val="center"/>
              <w:rPr>
                <w:rFonts w:ascii="微软雅黑" w:hAnsi="微软雅黑" w:eastAsia="微软雅黑"/>
                <w:sz w:val="22"/>
                <w:szCs w:val="22"/>
              </w:rPr>
            </w:pPr>
            <w:r>
              <w:rPr>
                <w:rFonts w:hint="eastAsia" w:ascii="微软雅黑" w:hAnsi="微软雅黑" w:eastAsia="微软雅黑"/>
                <w:sz w:val="22"/>
                <w:szCs w:val="22"/>
              </w:rPr>
              <w:t>账户</w:t>
            </w:r>
          </w:p>
        </w:tc>
        <w:tc>
          <w:tcPr>
            <w:tcW w:w="2491" w:type="dxa"/>
          </w:tcPr>
          <w:p>
            <w:pPr>
              <w:jc w:val="center"/>
              <w:rPr>
                <w:rFonts w:ascii="微软雅黑" w:hAnsi="微软雅黑" w:eastAsia="微软雅黑"/>
                <w:sz w:val="22"/>
                <w:szCs w:val="22"/>
              </w:rPr>
            </w:pPr>
            <w:r>
              <w:rPr>
                <w:rFonts w:hint="eastAsia" w:ascii="微软雅黑" w:hAnsi="微软雅黑" w:eastAsia="微软雅黑"/>
                <w:sz w:val="22"/>
                <w:szCs w:val="22"/>
              </w:rPr>
              <w:t>账户名称</w:t>
            </w:r>
          </w:p>
        </w:tc>
        <w:tc>
          <w:tcPr>
            <w:tcW w:w="2352" w:type="dxa"/>
          </w:tcPr>
          <w:p>
            <w:pPr>
              <w:jc w:val="center"/>
              <w:rPr>
                <w:rFonts w:ascii="微软雅黑" w:hAnsi="微软雅黑" w:eastAsia="微软雅黑"/>
                <w:sz w:val="22"/>
                <w:szCs w:val="22"/>
              </w:rPr>
            </w:pPr>
            <w:r>
              <w:rPr>
                <w:rFonts w:hint="eastAsia" w:ascii="微软雅黑" w:hAnsi="微软雅黑" w:eastAsia="微软雅黑"/>
                <w:sz w:val="22"/>
                <w:szCs w:val="22"/>
              </w:rPr>
              <w:t>开户单位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tcPr>
          <w:p>
            <w:pPr>
              <w:rPr>
                <w:rFonts w:ascii="微软雅黑" w:hAnsi="微软雅黑" w:eastAsia="微软雅黑"/>
                <w:sz w:val="24"/>
                <w:szCs w:val="24"/>
              </w:rPr>
            </w:pPr>
            <w:r>
              <w:rPr>
                <w:rFonts w:hint="eastAsia" w:ascii="微软雅黑" w:hAnsi="微软雅黑" w:eastAsia="微软雅黑"/>
                <w:sz w:val="24"/>
                <w:szCs w:val="24"/>
              </w:rPr>
              <w:t>托管账户</w:t>
            </w:r>
          </w:p>
        </w:tc>
        <w:tc>
          <w:tcPr>
            <w:tcW w:w="3485" w:type="dxa"/>
          </w:tcPr>
          <w:p>
            <w:pPr>
              <w:jc w:val="center"/>
              <w:rPr>
                <w:rFonts w:ascii="微软雅黑" w:hAnsi="微软雅黑" w:eastAsia="微软雅黑"/>
                <w:sz w:val="24"/>
                <w:szCs w:val="24"/>
              </w:rPr>
            </w:pPr>
            <w:r>
              <w:rPr>
                <w:rFonts w:hint="eastAsia" w:ascii="微软雅黑" w:hAnsi="微软雅黑" w:eastAsia="微软雅黑"/>
                <w:sz w:val="24"/>
                <w:szCs w:val="24"/>
              </w:rPr>
              <w:t>86021110000631029</w:t>
            </w:r>
          </w:p>
        </w:tc>
        <w:tc>
          <w:tcPr>
            <w:tcW w:w="2491" w:type="dxa"/>
          </w:tcPr>
          <w:p>
            <w:pPr>
              <w:jc w:val="center"/>
              <w:rPr>
                <w:rFonts w:ascii="微软雅黑" w:hAnsi="微软雅黑" w:eastAsia="微软雅黑"/>
                <w:sz w:val="24"/>
                <w:szCs w:val="24"/>
              </w:rPr>
            </w:pPr>
            <w:r>
              <w:rPr>
                <w:rFonts w:hint="eastAsia" w:ascii="微软雅黑" w:hAnsi="微软雅黑" w:eastAsia="微软雅黑"/>
                <w:sz w:val="24"/>
                <w:szCs w:val="24"/>
              </w:rPr>
              <w:t>珠海华润银行股份有限公司日日润金</w:t>
            </w:r>
          </w:p>
        </w:tc>
        <w:tc>
          <w:tcPr>
            <w:tcW w:w="2352" w:type="dxa"/>
          </w:tcPr>
          <w:p>
            <w:pPr>
              <w:tabs>
                <w:tab w:val="right" w:pos="2136"/>
              </w:tabs>
              <w:jc w:val="center"/>
              <w:rPr>
                <w:rFonts w:ascii="微软雅黑" w:hAnsi="微软雅黑" w:eastAsia="微软雅黑"/>
                <w:sz w:val="24"/>
                <w:szCs w:val="24"/>
              </w:rPr>
            </w:pPr>
            <w:r>
              <w:rPr>
                <w:rFonts w:hint="eastAsia" w:ascii="微软雅黑" w:hAnsi="微软雅黑" w:eastAsia="微软雅黑"/>
                <w:sz w:val="24"/>
                <w:szCs w:val="24"/>
              </w:rPr>
              <w:t>宁波银行深圳分行</w:t>
            </w:r>
          </w:p>
        </w:tc>
      </w:tr>
    </w:tbl>
    <w:p>
      <w:pPr>
        <w:spacing w:before="156" w:beforeLines="50"/>
        <w:rPr>
          <w:rFonts w:ascii="微软雅黑" w:hAnsi="微软雅黑" w:eastAsia="微软雅黑"/>
          <w:b/>
          <w:bCs/>
          <w:sz w:val="28"/>
          <w:szCs w:val="28"/>
        </w:rPr>
      </w:pPr>
      <w:r>
        <w:rPr>
          <w:rFonts w:hint="eastAsia" w:ascii="微软雅黑" w:hAnsi="微软雅黑" w:eastAsia="微软雅黑"/>
          <w:b/>
          <w:bCs/>
          <w:sz w:val="28"/>
          <w:szCs w:val="28"/>
        </w:rPr>
        <w:t>八、产品整体运作情况</w:t>
      </w:r>
    </w:p>
    <w:p>
      <w:pPr>
        <w:ind w:firstLine="480"/>
        <w:rPr>
          <w:rFonts w:ascii="微软雅黑" w:hAnsi="微软雅黑" w:eastAsia="微软雅黑"/>
          <w:sz w:val="24"/>
          <w:szCs w:val="24"/>
        </w:rPr>
      </w:pPr>
      <w:r>
        <w:rPr>
          <w:rFonts w:hint="eastAsia" w:ascii="微软雅黑" w:hAnsi="微软雅黑" w:eastAsia="微软雅黑"/>
          <w:sz w:val="24"/>
          <w:szCs w:val="24"/>
        </w:rPr>
        <w:t>自本产品成立起至本报告日，产品管理人恪尽职守、勤勉尽责、谨慎管理，忠实履行有关法律、行政法规和相关文件的规定。</w:t>
      </w:r>
    </w:p>
    <w:p>
      <w:pPr>
        <w:ind w:firstLine="480"/>
        <w:rPr>
          <w:rFonts w:ascii="微软雅黑" w:hAnsi="微软雅黑" w:eastAsia="微软雅黑"/>
          <w:sz w:val="24"/>
          <w:szCs w:val="24"/>
        </w:rPr>
      </w:pPr>
      <w:r>
        <w:rPr>
          <w:rFonts w:hint="eastAsia" w:ascii="微软雅黑" w:hAnsi="微软雅黑" w:eastAsia="微软雅黑"/>
          <w:sz w:val="24"/>
          <w:szCs w:val="24"/>
        </w:rPr>
        <w:t>截至本报告日，全部项目均能正常付息，各项投资资产正常运营，产品流动性良好，风险可控。</w:t>
      </w:r>
    </w:p>
    <w:p>
      <w:pPr>
        <w:ind w:firstLine="480"/>
        <w:rPr>
          <w:rFonts w:ascii="微软雅黑" w:hAnsi="微软雅黑" w:eastAsia="微软雅黑"/>
          <w:sz w:val="24"/>
          <w:szCs w:val="24"/>
        </w:rPr>
      </w:pPr>
      <w:r>
        <w:rPr>
          <w:rFonts w:hint="eastAsia" w:ascii="微软雅黑" w:hAnsi="微软雅黑" w:eastAsia="微软雅黑"/>
          <w:sz w:val="24"/>
          <w:szCs w:val="24"/>
        </w:rPr>
        <w:t>本产品自成立至本报告日，没有发生涉诉及诉讼等损害投资者利益的情形。</w:t>
      </w:r>
    </w:p>
    <w:p>
      <w:pPr>
        <w:rPr>
          <w:rFonts w:ascii="微软雅黑" w:hAnsi="微软雅黑" w:eastAsia="微软雅黑"/>
          <w:b/>
          <w:bCs/>
          <w:sz w:val="28"/>
          <w:szCs w:val="28"/>
        </w:rPr>
      </w:pPr>
      <w:r>
        <w:rPr>
          <w:rFonts w:hint="eastAsia" w:ascii="微软雅黑" w:hAnsi="微软雅黑" w:eastAsia="微软雅黑"/>
          <w:b/>
          <w:bCs/>
          <w:sz w:val="28"/>
          <w:szCs w:val="28"/>
        </w:rPr>
        <w:t>九、投资组合的流动性分析</w:t>
      </w:r>
    </w:p>
    <w:p>
      <w:pPr>
        <w:ind w:firstLine="480"/>
        <w:rPr>
          <w:rFonts w:ascii="微软雅黑" w:hAnsi="微软雅黑" w:eastAsia="微软雅黑"/>
          <w:sz w:val="24"/>
          <w:szCs w:val="24"/>
        </w:rPr>
      </w:pPr>
      <w:r>
        <w:rPr>
          <w:rFonts w:hint="eastAsia" w:ascii="微软雅黑" w:hAnsi="微软雅黑" w:eastAsia="微软雅黑"/>
          <w:sz w:val="24"/>
          <w:szCs w:val="24"/>
        </w:rPr>
        <w:t>投资组合的流动性风险是指本产品资金不足履行与负债相关义务的风险。流动性风险主要来源于市场不活跃可能带来市场变现困难或在市场出现剧烈波动的情况下不能以合理价格变现的风险。</w:t>
      </w:r>
    </w:p>
    <w:p>
      <w:pPr>
        <w:ind w:firstLine="480"/>
        <w:rPr>
          <w:rFonts w:ascii="微软雅黑" w:hAnsi="微软雅黑" w:eastAsia="微软雅黑"/>
          <w:sz w:val="24"/>
          <w:szCs w:val="24"/>
        </w:rPr>
      </w:pPr>
      <w:r>
        <w:rPr>
          <w:rFonts w:hint="eastAsia" w:ascii="微软雅黑" w:hAnsi="微软雅黑" w:eastAsia="微软雅黑"/>
          <w:sz w:val="24"/>
          <w:szCs w:val="24"/>
        </w:rPr>
        <w:t>本产品管理人将合理安排所投资产的期限，尽可能降低流动性风险，有效保障投资者的利益。</w:t>
      </w:r>
    </w:p>
    <w:p>
      <w:pPr>
        <w:rPr>
          <w:rFonts w:ascii="微软雅黑" w:hAnsi="微软雅黑" w:eastAsia="微软雅黑"/>
          <w:b/>
          <w:bCs/>
          <w:sz w:val="28"/>
          <w:szCs w:val="28"/>
        </w:rPr>
      </w:pPr>
      <w:r>
        <w:rPr>
          <w:rFonts w:hint="eastAsia" w:ascii="微软雅黑" w:hAnsi="微软雅黑" w:eastAsia="微软雅黑"/>
          <w:b/>
          <w:bCs/>
          <w:sz w:val="28"/>
          <w:szCs w:val="28"/>
        </w:rPr>
        <w:t>十、关联交易情况</w:t>
      </w:r>
    </w:p>
    <w:p>
      <w:pPr>
        <w:rPr>
          <w:rFonts w:ascii="微软雅黑" w:hAnsi="微软雅黑" w:eastAsia="微软雅黑"/>
          <w:sz w:val="24"/>
          <w:szCs w:val="24"/>
        </w:rPr>
      </w:pPr>
      <w:r>
        <w:rPr>
          <w:rFonts w:hint="eastAsia" w:ascii="微软雅黑" w:hAnsi="微软雅黑" w:eastAsia="微软雅黑"/>
          <w:sz w:val="24"/>
          <w:szCs w:val="24"/>
        </w:rPr>
        <w:t>10.1 报告期内，本产品投资于关联方发行的债券，投资金额总计0.00元；</w:t>
      </w:r>
    </w:p>
    <w:p>
      <w:pPr>
        <w:rPr>
          <w:rFonts w:ascii="微软雅黑" w:hAnsi="微软雅黑" w:eastAsia="微软雅黑"/>
          <w:sz w:val="24"/>
          <w:szCs w:val="24"/>
        </w:rPr>
      </w:pPr>
      <w:r>
        <w:rPr>
          <w:rFonts w:hint="eastAsia" w:ascii="微软雅黑" w:hAnsi="微软雅黑" w:eastAsia="微软雅黑"/>
          <w:sz w:val="24"/>
          <w:szCs w:val="24"/>
        </w:rPr>
        <w:t>10.2 报告期内，本产品投资于关联方承销的债券，投资金额总计0.00元；</w:t>
      </w:r>
    </w:p>
    <w:p>
      <w:pPr>
        <w:rPr>
          <w:rFonts w:ascii="微软雅黑" w:hAnsi="微软雅黑" w:eastAsia="微软雅黑"/>
          <w:sz w:val="24"/>
          <w:szCs w:val="24"/>
        </w:rPr>
      </w:pPr>
      <w:r>
        <w:rPr>
          <w:rFonts w:hint="eastAsia" w:ascii="微软雅黑" w:hAnsi="微软雅黑" w:eastAsia="微软雅黑"/>
          <w:sz w:val="24"/>
          <w:szCs w:val="24"/>
        </w:rPr>
        <w:t>10.3 报告期内，本产品发生重大关联交易情况：无。</w:t>
      </w:r>
    </w:p>
    <w:p>
      <w:pPr>
        <w:spacing w:before="156" w:beforeLines="50"/>
        <w:rPr>
          <w:rFonts w:ascii="微软雅黑" w:hAnsi="微软雅黑" w:eastAsia="微软雅黑"/>
          <w:b/>
          <w:bCs/>
          <w:sz w:val="28"/>
          <w:szCs w:val="28"/>
        </w:rPr>
      </w:pPr>
      <w:r>
        <w:rPr>
          <w:rFonts w:hint="eastAsia" w:ascii="微软雅黑" w:hAnsi="微软雅黑" w:eastAsia="微软雅黑"/>
          <w:b/>
          <w:bCs/>
          <w:sz w:val="28"/>
          <w:szCs w:val="28"/>
        </w:rPr>
        <w:t>十 一、托管人报告</w:t>
      </w:r>
    </w:p>
    <w:p>
      <w:pPr>
        <w:rPr>
          <w:rFonts w:ascii="微软雅黑" w:hAnsi="微软雅黑" w:eastAsia="微软雅黑"/>
          <w:sz w:val="24"/>
          <w:szCs w:val="24"/>
        </w:rPr>
      </w:pPr>
      <w:r>
        <w:rPr>
          <w:rFonts w:hint="eastAsia" w:ascii="微软雅黑" w:hAnsi="微软雅黑" w:eastAsia="微软雅黑"/>
          <w:sz w:val="28"/>
          <w:szCs w:val="28"/>
        </w:rPr>
        <w:t xml:space="preserve">      </w:t>
      </w:r>
      <w:r>
        <w:rPr>
          <w:rFonts w:hint="eastAsia" w:ascii="微软雅黑" w:hAnsi="微软雅黑" w:eastAsia="微软雅黑"/>
          <w:sz w:val="24"/>
          <w:szCs w:val="24"/>
        </w:rPr>
        <w:t>在报告期内，托管人严格遵守有关法律法规规定、理财产品托管协议的约定，诚实信用、 勤勉尽责地履行了托管人职责。托管人对管理人报告中的穿透前财务数据进行了复核，未发现存在虚假记载、误导性陈述或者重大遗漏的情形。</w:t>
      </w:r>
    </w:p>
    <w:p>
      <w:pPr>
        <w:numPr>
          <w:ilvl w:val="0"/>
          <w:numId w:val="2"/>
        </w:numPr>
        <w:rPr>
          <w:rFonts w:ascii="微软雅黑" w:hAnsi="微软雅黑" w:eastAsia="微软雅黑"/>
          <w:b/>
          <w:bCs/>
          <w:sz w:val="28"/>
          <w:szCs w:val="28"/>
        </w:rPr>
      </w:pPr>
      <w:r>
        <w:rPr>
          <w:rFonts w:hint="eastAsia" w:ascii="微软雅黑" w:hAnsi="微软雅黑" w:eastAsia="微软雅黑"/>
          <w:b/>
          <w:bCs/>
          <w:sz w:val="28"/>
          <w:szCs w:val="28"/>
        </w:rPr>
        <w:t>前十大投资者情况</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0"/>
        <w:gridCol w:w="2890"/>
        <w:gridCol w:w="2491"/>
        <w:gridCol w:w="2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90" w:type="dxa"/>
          </w:tcPr>
          <w:p>
            <w:pPr>
              <w:jc w:val="center"/>
              <w:rPr>
                <w:rFonts w:ascii="微软雅黑" w:hAnsi="微软雅黑" w:eastAsia="微软雅黑"/>
                <w:sz w:val="24"/>
                <w:szCs w:val="24"/>
              </w:rPr>
            </w:pPr>
            <w:r>
              <w:rPr>
                <w:rFonts w:hint="eastAsia" w:ascii="微软雅黑" w:hAnsi="微软雅黑" w:eastAsia="微软雅黑"/>
                <w:sz w:val="24"/>
                <w:szCs w:val="24"/>
              </w:rPr>
              <w:t>序号</w:t>
            </w:r>
          </w:p>
        </w:tc>
        <w:tc>
          <w:tcPr>
            <w:tcW w:w="2890" w:type="dxa"/>
          </w:tcPr>
          <w:p>
            <w:pPr>
              <w:jc w:val="center"/>
              <w:rPr>
                <w:rFonts w:ascii="微软雅黑" w:hAnsi="微软雅黑" w:eastAsia="微软雅黑"/>
                <w:sz w:val="24"/>
                <w:szCs w:val="24"/>
              </w:rPr>
            </w:pPr>
            <w:r>
              <w:rPr>
                <w:rFonts w:hint="eastAsia" w:ascii="微软雅黑" w:hAnsi="微软雅黑" w:eastAsia="微软雅黑"/>
                <w:sz w:val="24"/>
                <w:szCs w:val="24"/>
              </w:rPr>
              <w:t>投资者类别</w:t>
            </w:r>
          </w:p>
        </w:tc>
        <w:tc>
          <w:tcPr>
            <w:tcW w:w="2491" w:type="dxa"/>
          </w:tcPr>
          <w:p>
            <w:pPr>
              <w:jc w:val="center"/>
              <w:rPr>
                <w:rFonts w:ascii="微软雅黑" w:hAnsi="微软雅黑" w:eastAsia="微软雅黑"/>
                <w:sz w:val="24"/>
                <w:szCs w:val="24"/>
              </w:rPr>
            </w:pPr>
            <w:r>
              <w:rPr>
                <w:rFonts w:hint="eastAsia" w:ascii="微软雅黑" w:hAnsi="微软雅黑" w:eastAsia="微软雅黑"/>
                <w:sz w:val="24"/>
                <w:szCs w:val="24"/>
              </w:rPr>
              <w:t>期末持有份额（份）</w:t>
            </w:r>
          </w:p>
        </w:tc>
        <w:tc>
          <w:tcPr>
            <w:tcW w:w="2491" w:type="dxa"/>
          </w:tcPr>
          <w:p>
            <w:pPr>
              <w:jc w:val="center"/>
              <w:rPr>
                <w:rFonts w:ascii="微软雅黑" w:hAnsi="微软雅黑" w:eastAsia="微软雅黑"/>
                <w:sz w:val="24"/>
                <w:szCs w:val="24"/>
              </w:rPr>
            </w:pPr>
            <w:r>
              <w:rPr>
                <w:rFonts w:hint="eastAsia" w:ascii="微软雅黑" w:hAnsi="微软雅黑" w:eastAsia="微软雅黑"/>
                <w:sz w:val="24"/>
                <w:szCs w:val="24"/>
              </w:rPr>
              <w:t>占总份额比例（%）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90" w:type="dxa"/>
            <w:vAlign w:val="center"/>
          </w:tcPr>
          <w:p>
            <w:pPr>
              <w:jc w:val="center"/>
              <w:rPr>
                <w:rFonts w:ascii="微软雅黑" w:hAnsi="微软雅黑" w:eastAsia="微软雅黑" w:cs="微软雅黑"/>
                <w:sz w:val="24"/>
                <w:szCs w:val="24"/>
              </w:rPr>
            </w:pPr>
            <w:r>
              <w:rPr>
                <w:rFonts w:hint="eastAsia" w:ascii="微软雅黑" w:hAnsi="微软雅黑" w:eastAsia="微软雅黑" w:cs="微软雅黑"/>
                <w:sz w:val="24"/>
                <w:szCs w:val="24"/>
              </w:rPr>
              <w:t>1</w:t>
            </w:r>
          </w:p>
        </w:tc>
        <w:tc>
          <w:tcPr>
            <w:tcW w:w="2890" w:type="dxa"/>
            <w:vAlign w:val="center"/>
          </w:tcPr>
          <w:p>
            <w:pPr>
              <w:jc w:val="center"/>
              <w:rPr>
                <w:rFonts w:ascii="微软雅黑" w:hAnsi="微软雅黑" w:eastAsia="微软雅黑" w:cs="微软雅黑"/>
                <w:sz w:val="24"/>
                <w:szCs w:val="24"/>
              </w:rPr>
            </w:pPr>
            <w:r>
              <w:rPr>
                <w:rFonts w:hint="eastAsia" w:ascii="微软雅黑" w:hAnsi="微软雅黑" w:eastAsia="微软雅黑" w:cs="微软雅黑"/>
                <w:sz w:val="24"/>
                <w:szCs w:val="24"/>
              </w:rPr>
              <w:t>个人</w:t>
            </w:r>
          </w:p>
        </w:tc>
        <w:tc>
          <w:tcPr>
            <w:tcW w:w="2491" w:type="dxa"/>
            <w:vAlign w:val="center"/>
          </w:tcPr>
          <w:p>
            <w:pPr>
              <w:jc w:val="center"/>
              <w:rPr>
                <w:rFonts w:ascii="微软雅黑" w:hAnsi="微软雅黑" w:eastAsia="微软雅黑" w:cs="微软雅黑"/>
                <w:sz w:val="24"/>
                <w:szCs w:val="24"/>
              </w:rPr>
            </w:pPr>
            <w:r>
              <w:rPr>
                <w:rFonts w:hint="eastAsia" w:ascii="微软雅黑" w:hAnsi="微软雅黑" w:eastAsia="微软雅黑" w:cs="微软雅黑"/>
                <w:sz w:val="24"/>
                <w:szCs w:val="24"/>
              </w:rPr>
              <w:t xml:space="preserve"> 25,624,719.21 </w:t>
            </w:r>
          </w:p>
        </w:tc>
        <w:tc>
          <w:tcPr>
            <w:tcW w:w="2491" w:type="dxa"/>
            <w:vAlign w:val="center"/>
          </w:tcPr>
          <w:p>
            <w:pPr>
              <w:jc w:val="center"/>
              <w:rPr>
                <w:rFonts w:ascii="微软雅黑" w:hAnsi="微软雅黑" w:eastAsia="微软雅黑" w:cs="微软雅黑"/>
                <w:sz w:val="24"/>
                <w:szCs w:val="24"/>
              </w:rPr>
            </w:pPr>
            <w:r>
              <w:rPr>
                <w:rFonts w:hint="eastAsia" w:ascii="微软雅黑" w:hAnsi="微软雅黑" w:eastAsia="微软雅黑" w:cs="微软雅黑"/>
                <w:sz w:val="24"/>
                <w:szCs w:val="24"/>
              </w:rPr>
              <w:t>0.93%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90" w:type="dxa"/>
            <w:vAlign w:val="center"/>
          </w:tcPr>
          <w:p>
            <w:pPr>
              <w:jc w:val="center"/>
              <w:rPr>
                <w:rFonts w:ascii="微软雅黑" w:hAnsi="微软雅黑" w:eastAsia="微软雅黑" w:cs="微软雅黑"/>
                <w:sz w:val="24"/>
                <w:szCs w:val="24"/>
              </w:rPr>
            </w:pPr>
            <w:r>
              <w:rPr>
                <w:rFonts w:hint="eastAsia" w:ascii="微软雅黑" w:hAnsi="微软雅黑" w:eastAsia="微软雅黑" w:cs="微软雅黑"/>
                <w:sz w:val="24"/>
                <w:szCs w:val="24"/>
              </w:rPr>
              <w:t>2</w:t>
            </w:r>
          </w:p>
        </w:tc>
        <w:tc>
          <w:tcPr>
            <w:tcW w:w="2890" w:type="dxa"/>
            <w:vAlign w:val="center"/>
          </w:tcPr>
          <w:p>
            <w:pPr>
              <w:jc w:val="center"/>
              <w:rPr>
                <w:rFonts w:ascii="微软雅黑" w:hAnsi="微软雅黑" w:eastAsia="微软雅黑" w:cs="微软雅黑"/>
                <w:sz w:val="24"/>
                <w:szCs w:val="24"/>
              </w:rPr>
            </w:pPr>
            <w:r>
              <w:rPr>
                <w:rFonts w:hint="eastAsia" w:ascii="微软雅黑" w:hAnsi="微软雅黑" w:eastAsia="微软雅黑" w:cs="微软雅黑"/>
                <w:sz w:val="24"/>
                <w:szCs w:val="24"/>
              </w:rPr>
              <w:t>个人</w:t>
            </w:r>
          </w:p>
        </w:tc>
        <w:tc>
          <w:tcPr>
            <w:tcW w:w="2491" w:type="dxa"/>
            <w:vAlign w:val="center"/>
          </w:tcPr>
          <w:p>
            <w:pPr>
              <w:jc w:val="center"/>
              <w:rPr>
                <w:rFonts w:ascii="微软雅黑" w:hAnsi="微软雅黑" w:eastAsia="微软雅黑" w:cs="微软雅黑"/>
                <w:sz w:val="24"/>
                <w:szCs w:val="24"/>
              </w:rPr>
            </w:pPr>
            <w:r>
              <w:rPr>
                <w:rFonts w:hint="eastAsia" w:ascii="微软雅黑" w:hAnsi="微软雅黑" w:eastAsia="微软雅黑" w:cs="微软雅黑"/>
                <w:sz w:val="24"/>
                <w:szCs w:val="24"/>
              </w:rPr>
              <w:t xml:space="preserve"> 20,112,838.80 </w:t>
            </w:r>
          </w:p>
        </w:tc>
        <w:tc>
          <w:tcPr>
            <w:tcW w:w="2491" w:type="dxa"/>
            <w:vAlign w:val="center"/>
          </w:tcPr>
          <w:p>
            <w:pPr>
              <w:jc w:val="center"/>
              <w:rPr>
                <w:rFonts w:ascii="微软雅黑" w:hAnsi="微软雅黑" w:eastAsia="微软雅黑" w:cs="微软雅黑"/>
                <w:sz w:val="24"/>
                <w:szCs w:val="24"/>
              </w:rPr>
            </w:pPr>
            <w:r>
              <w:rPr>
                <w:rFonts w:hint="eastAsia" w:ascii="微软雅黑" w:hAnsi="微软雅黑" w:eastAsia="微软雅黑" w:cs="微软雅黑"/>
                <w:sz w:val="24"/>
                <w:szCs w:val="24"/>
              </w:rPr>
              <w:t>0.73%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90" w:type="dxa"/>
            <w:vAlign w:val="center"/>
          </w:tcPr>
          <w:p>
            <w:pPr>
              <w:jc w:val="center"/>
              <w:rPr>
                <w:rFonts w:ascii="微软雅黑" w:hAnsi="微软雅黑" w:eastAsia="微软雅黑" w:cs="微软雅黑"/>
                <w:sz w:val="24"/>
                <w:szCs w:val="24"/>
              </w:rPr>
            </w:pPr>
            <w:r>
              <w:rPr>
                <w:rFonts w:hint="eastAsia" w:ascii="微软雅黑" w:hAnsi="微软雅黑" w:eastAsia="微软雅黑" w:cs="微软雅黑"/>
                <w:sz w:val="24"/>
                <w:szCs w:val="24"/>
              </w:rPr>
              <w:t>3</w:t>
            </w:r>
          </w:p>
        </w:tc>
        <w:tc>
          <w:tcPr>
            <w:tcW w:w="2890" w:type="dxa"/>
            <w:vAlign w:val="center"/>
          </w:tcPr>
          <w:p>
            <w:pPr>
              <w:jc w:val="center"/>
              <w:rPr>
                <w:rFonts w:ascii="微软雅黑" w:hAnsi="微软雅黑" w:eastAsia="微软雅黑" w:cs="微软雅黑"/>
                <w:sz w:val="24"/>
                <w:szCs w:val="24"/>
              </w:rPr>
            </w:pPr>
            <w:r>
              <w:rPr>
                <w:rFonts w:hint="eastAsia" w:ascii="微软雅黑" w:hAnsi="微软雅黑" w:eastAsia="微软雅黑" w:cs="微软雅黑"/>
                <w:sz w:val="24"/>
                <w:szCs w:val="24"/>
              </w:rPr>
              <w:t>个人</w:t>
            </w:r>
          </w:p>
        </w:tc>
        <w:tc>
          <w:tcPr>
            <w:tcW w:w="2491" w:type="dxa"/>
            <w:vAlign w:val="center"/>
          </w:tcPr>
          <w:p>
            <w:pPr>
              <w:jc w:val="center"/>
              <w:rPr>
                <w:rFonts w:ascii="微软雅黑" w:hAnsi="微软雅黑" w:eastAsia="微软雅黑" w:cs="微软雅黑"/>
                <w:sz w:val="24"/>
                <w:szCs w:val="24"/>
              </w:rPr>
            </w:pPr>
            <w:r>
              <w:rPr>
                <w:rFonts w:hint="eastAsia" w:ascii="微软雅黑" w:hAnsi="微软雅黑" w:eastAsia="微软雅黑" w:cs="微软雅黑"/>
                <w:sz w:val="24"/>
                <w:szCs w:val="24"/>
              </w:rPr>
              <w:t xml:space="preserve"> 18,773,299.89 </w:t>
            </w:r>
          </w:p>
        </w:tc>
        <w:tc>
          <w:tcPr>
            <w:tcW w:w="2491" w:type="dxa"/>
            <w:vAlign w:val="center"/>
          </w:tcPr>
          <w:p>
            <w:pPr>
              <w:jc w:val="center"/>
              <w:rPr>
                <w:rFonts w:ascii="微软雅黑" w:hAnsi="微软雅黑" w:eastAsia="微软雅黑" w:cs="微软雅黑"/>
                <w:sz w:val="24"/>
                <w:szCs w:val="24"/>
              </w:rPr>
            </w:pPr>
            <w:r>
              <w:rPr>
                <w:rFonts w:hint="eastAsia" w:ascii="微软雅黑" w:hAnsi="微软雅黑" w:eastAsia="微软雅黑" w:cs="微软雅黑"/>
                <w:sz w:val="24"/>
                <w:szCs w:val="24"/>
              </w:rPr>
              <w:t>0.68%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90" w:type="dxa"/>
            <w:vAlign w:val="center"/>
          </w:tcPr>
          <w:p>
            <w:pPr>
              <w:jc w:val="center"/>
              <w:rPr>
                <w:rFonts w:ascii="微软雅黑" w:hAnsi="微软雅黑" w:eastAsia="微软雅黑" w:cs="微软雅黑"/>
                <w:sz w:val="24"/>
                <w:szCs w:val="24"/>
              </w:rPr>
            </w:pPr>
            <w:r>
              <w:rPr>
                <w:rFonts w:hint="eastAsia" w:ascii="微软雅黑" w:hAnsi="微软雅黑" w:eastAsia="微软雅黑" w:cs="微软雅黑"/>
                <w:sz w:val="24"/>
                <w:szCs w:val="24"/>
              </w:rPr>
              <w:t>4</w:t>
            </w:r>
          </w:p>
        </w:tc>
        <w:tc>
          <w:tcPr>
            <w:tcW w:w="2890" w:type="dxa"/>
            <w:vAlign w:val="center"/>
          </w:tcPr>
          <w:p>
            <w:pPr>
              <w:jc w:val="center"/>
              <w:rPr>
                <w:rFonts w:ascii="微软雅黑" w:hAnsi="微软雅黑" w:eastAsia="微软雅黑" w:cs="微软雅黑"/>
                <w:sz w:val="24"/>
                <w:szCs w:val="24"/>
              </w:rPr>
            </w:pPr>
            <w:r>
              <w:rPr>
                <w:rFonts w:hint="eastAsia" w:ascii="微软雅黑" w:hAnsi="微软雅黑" w:eastAsia="微软雅黑" w:cs="微软雅黑"/>
                <w:sz w:val="24"/>
                <w:szCs w:val="24"/>
              </w:rPr>
              <w:t>个人</w:t>
            </w:r>
          </w:p>
        </w:tc>
        <w:tc>
          <w:tcPr>
            <w:tcW w:w="2491" w:type="dxa"/>
            <w:vAlign w:val="center"/>
          </w:tcPr>
          <w:p>
            <w:pPr>
              <w:jc w:val="center"/>
              <w:rPr>
                <w:rFonts w:ascii="微软雅黑" w:hAnsi="微软雅黑" w:eastAsia="微软雅黑" w:cs="微软雅黑"/>
                <w:sz w:val="24"/>
                <w:szCs w:val="24"/>
              </w:rPr>
            </w:pPr>
            <w:r>
              <w:rPr>
                <w:rFonts w:hint="eastAsia" w:ascii="微软雅黑" w:hAnsi="微软雅黑" w:eastAsia="微软雅黑" w:cs="微软雅黑"/>
                <w:sz w:val="24"/>
                <w:szCs w:val="24"/>
              </w:rPr>
              <w:t xml:space="preserve"> 16,319,405.49 </w:t>
            </w:r>
          </w:p>
        </w:tc>
        <w:tc>
          <w:tcPr>
            <w:tcW w:w="2491" w:type="dxa"/>
            <w:vAlign w:val="center"/>
          </w:tcPr>
          <w:p>
            <w:pPr>
              <w:jc w:val="center"/>
              <w:rPr>
                <w:rFonts w:ascii="微软雅黑" w:hAnsi="微软雅黑" w:eastAsia="微软雅黑" w:cs="微软雅黑"/>
                <w:sz w:val="24"/>
                <w:szCs w:val="24"/>
              </w:rPr>
            </w:pPr>
            <w:r>
              <w:rPr>
                <w:rFonts w:hint="eastAsia" w:ascii="微软雅黑" w:hAnsi="微软雅黑" w:eastAsia="微软雅黑" w:cs="微软雅黑"/>
                <w:sz w:val="24"/>
                <w:szCs w:val="24"/>
              </w:rPr>
              <w:t>0.59%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90" w:type="dxa"/>
            <w:vAlign w:val="center"/>
          </w:tcPr>
          <w:p>
            <w:pPr>
              <w:jc w:val="center"/>
              <w:rPr>
                <w:rFonts w:ascii="微软雅黑" w:hAnsi="微软雅黑" w:eastAsia="微软雅黑" w:cs="微软雅黑"/>
                <w:sz w:val="24"/>
                <w:szCs w:val="24"/>
              </w:rPr>
            </w:pPr>
            <w:r>
              <w:rPr>
                <w:rFonts w:hint="eastAsia" w:ascii="微软雅黑" w:hAnsi="微软雅黑" w:eastAsia="微软雅黑" w:cs="微软雅黑"/>
                <w:sz w:val="24"/>
                <w:szCs w:val="24"/>
              </w:rPr>
              <w:t>5</w:t>
            </w:r>
          </w:p>
        </w:tc>
        <w:tc>
          <w:tcPr>
            <w:tcW w:w="2890" w:type="dxa"/>
            <w:vAlign w:val="center"/>
          </w:tcPr>
          <w:p>
            <w:pPr>
              <w:jc w:val="center"/>
              <w:rPr>
                <w:rFonts w:ascii="微软雅黑" w:hAnsi="微软雅黑" w:eastAsia="微软雅黑" w:cs="微软雅黑"/>
                <w:sz w:val="24"/>
                <w:szCs w:val="24"/>
              </w:rPr>
            </w:pPr>
            <w:r>
              <w:rPr>
                <w:rFonts w:hint="eastAsia" w:ascii="微软雅黑" w:hAnsi="微软雅黑" w:eastAsia="微软雅黑" w:cs="微软雅黑"/>
                <w:sz w:val="24"/>
                <w:szCs w:val="24"/>
              </w:rPr>
              <w:t>个人</w:t>
            </w:r>
          </w:p>
        </w:tc>
        <w:tc>
          <w:tcPr>
            <w:tcW w:w="2491" w:type="dxa"/>
            <w:vAlign w:val="center"/>
          </w:tcPr>
          <w:p>
            <w:pPr>
              <w:jc w:val="center"/>
              <w:rPr>
                <w:rFonts w:ascii="微软雅黑" w:hAnsi="微软雅黑" w:eastAsia="微软雅黑" w:cs="微软雅黑"/>
                <w:sz w:val="24"/>
                <w:szCs w:val="24"/>
              </w:rPr>
            </w:pPr>
            <w:r>
              <w:rPr>
                <w:rFonts w:hint="eastAsia" w:ascii="微软雅黑" w:hAnsi="微软雅黑" w:eastAsia="微软雅黑" w:cs="微软雅黑"/>
                <w:sz w:val="24"/>
                <w:szCs w:val="24"/>
              </w:rPr>
              <w:t xml:space="preserve"> 14,104,992.61 </w:t>
            </w:r>
          </w:p>
        </w:tc>
        <w:tc>
          <w:tcPr>
            <w:tcW w:w="2491" w:type="dxa"/>
            <w:vAlign w:val="center"/>
          </w:tcPr>
          <w:p>
            <w:pPr>
              <w:jc w:val="center"/>
              <w:rPr>
                <w:rFonts w:ascii="微软雅黑" w:hAnsi="微软雅黑" w:eastAsia="微软雅黑" w:cs="微软雅黑"/>
                <w:sz w:val="24"/>
                <w:szCs w:val="24"/>
              </w:rPr>
            </w:pPr>
            <w:r>
              <w:rPr>
                <w:rFonts w:hint="eastAsia" w:ascii="微软雅黑" w:hAnsi="微软雅黑" w:eastAsia="微软雅黑" w:cs="微软雅黑"/>
                <w:sz w:val="24"/>
                <w:szCs w:val="24"/>
              </w:rPr>
              <w:t>0.51%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90" w:type="dxa"/>
            <w:vAlign w:val="center"/>
          </w:tcPr>
          <w:p>
            <w:pPr>
              <w:jc w:val="center"/>
              <w:rPr>
                <w:rFonts w:ascii="微软雅黑" w:hAnsi="微软雅黑" w:eastAsia="微软雅黑" w:cs="微软雅黑"/>
                <w:sz w:val="24"/>
                <w:szCs w:val="24"/>
              </w:rPr>
            </w:pPr>
            <w:r>
              <w:rPr>
                <w:rFonts w:hint="eastAsia" w:ascii="微软雅黑" w:hAnsi="微软雅黑" w:eastAsia="微软雅黑" w:cs="微软雅黑"/>
                <w:sz w:val="24"/>
                <w:szCs w:val="24"/>
              </w:rPr>
              <w:t>6</w:t>
            </w:r>
          </w:p>
        </w:tc>
        <w:tc>
          <w:tcPr>
            <w:tcW w:w="2890" w:type="dxa"/>
            <w:vAlign w:val="center"/>
          </w:tcPr>
          <w:p>
            <w:pPr>
              <w:jc w:val="center"/>
              <w:rPr>
                <w:rFonts w:ascii="微软雅黑" w:hAnsi="微软雅黑" w:eastAsia="微软雅黑" w:cs="微软雅黑"/>
                <w:sz w:val="24"/>
                <w:szCs w:val="24"/>
              </w:rPr>
            </w:pPr>
            <w:r>
              <w:rPr>
                <w:rFonts w:hint="eastAsia" w:ascii="微软雅黑" w:hAnsi="微软雅黑" w:eastAsia="微软雅黑" w:cs="微软雅黑"/>
                <w:sz w:val="24"/>
                <w:szCs w:val="24"/>
              </w:rPr>
              <w:t>个人</w:t>
            </w:r>
          </w:p>
        </w:tc>
        <w:tc>
          <w:tcPr>
            <w:tcW w:w="2491" w:type="dxa"/>
            <w:vAlign w:val="center"/>
          </w:tcPr>
          <w:p>
            <w:pPr>
              <w:jc w:val="center"/>
              <w:rPr>
                <w:rFonts w:ascii="微软雅黑" w:hAnsi="微软雅黑" w:eastAsia="微软雅黑" w:cs="微软雅黑"/>
                <w:sz w:val="24"/>
                <w:szCs w:val="24"/>
              </w:rPr>
            </w:pPr>
            <w:r>
              <w:rPr>
                <w:rFonts w:hint="eastAsia" w:ascii="微软雅黑" w:hAnsi="微软雅黑" w:eastAsia="微软雅黑" w:cs="微软雅黑"/>
                <w:sz w:val="24"/>
                <w:szCs w:val="24"/>
              </w:rPr>
              <w:t xml:space="preserve"> 14,053,076.17 </w:t>
            </w:r>
          </w:p>
        </w:tc>
        <w:tc>
          <w:tcPr>
            <w:tcW w:w="2491" w:type="dxa"/>
            <w:vAlign w:val="center"/>
          </w:tcPr>
          <w:p>
            <w:pPr>
              <w:jc w:val="center"/>
              <w:rPr>
                <w:rFonts w:ascii="微软雅黑" w:hAnsi="微软雅黑" w:eastAsia="微软雅黑" w:cs="微软雅黑"/>
                <w:sz w:val="24"/>
                <w:szCs w:val="24"/>
              </w:rPr>
            </w:pPr>
            <w:r>
              <w:rPr>
                <w:rFonts w:hint="eastAsia" w:ascii="微软雅黑" w:hAnsi="微软雅黑" w:eastAsia="微软雅黑" w:cs="微软雅黑"/>
                <w:sz w:val="24"/>
                <w:szCs w:val="24"/>
              </w:rPr>
              <w:t>0.51%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90" w:type="dxa"/>
            <w:vAlign w:val="center"/>
          </w:tcPr>
          <w:p>
            <w:pPr>
              <w:jc w:val="center"/>
              <w:rPr>
                <w:rFonts w:ascii="微软雅黑" w:hAnsi="微软雅黑" w:eastAsia="微软雅黑" w:cs="微软雅黑"/>
                <w:sz w:val="24"/>
                <w:szCs w:val="24"/>
              </w:rPr>
            </w:pPr>
            <w:r>
              <w:rPr>
                <w:rFonts w:hint="eastAsia" w:ascii="微软雅黑" w:hAnsi="微软雅黑" w:eastAsia="微软雅黑" w:cs="微软雅黑"/>
                <w:sz w:val="24"/>
                <w:szCs w:val="24"/>
              </w:rPr>
              <w:t>7</w:t>
            </w:r>
          </w:p>
        </w:tc>
        <w:tc>
          <w:tcPr>
            <w:tcW w:w="2890" w:type="dxa"/>
            <w:vAlign w:val="center"/>
          </w:tcPr>
          <w:p>
            <w:pPr>
              <w:jc w:val="center"/>
              <w:rPr>
                <w:rFonts w:ascii="微软雅黑" w:hAnsi="微软雅黑" w:eastAsia="微软雅黑" w:cs="微软雅黑"/>
                <w:sz w:val="24"/>
                <w:szCs w:val="24"/>
              </w:rPr>
            </w:pPr>
            <w:r>
              <w:rPr>
                <w:rFonts w:hint="eastAsia" w:ascii="微软雅黑" w:hAnsi="微软雅黑" w:eastAsia="微软雅黑" w:cs="微软雅黑"/>
                <w:sz w:val="24"/>
                <w:szCs w:val="24"/>
              </w:rPr>
              <w:t>个人</w:t>
            </w:r>
          </w:p>
        </w:tc>
        <w:tc>
          <w:tcPr>
            <w:tcW w:w="2491" w:type="dxa"/>
            <w:vAlign w:val="center"/>
          </w:tcPr>
          <w:p>
            <w:pPr>
              <w:jc w:val="center"/>
              <w:rPr>
                <w:rFonts w:ascii="微软雅黑" w:hAnsi="微软雅黑" w:eastAsia="微软雅黑" w:cs="微软雅黑"/>
                <w:sz w:val="24"/>
                <w:szCs w:val="24"/>
              </w:rPr>
            </w:pPr>
            <w:r>
              <w:rPr>
                <w:rFonts w:hint="eastAsia" w:ascii="微软雅黑" w:hAnsi="微软雅黑" w:eastAsia="微软雅黑" w:cs="微软雅黑"/>
                <w:sz w:val="24"/>
                <w:szCs w:val="24"/>
              </w:rPr>
              <w:t xml:space="preserve"> 13,817,906.26 </w:t>
            </w:r>
          </w:p>
        </w:tc>
        <w:tc>
          <w:tcPr>
            <w:tcW w:w="2491" w:type="dxa"/>
            <w:vAlign w:val="center"/>
          </w:tcPr>
          <w:p>
            <w:pPr>
              <w:jc w:val="center"/>
              <w:rPr>
                <w:rFonts w:ascii="微软雅黑" w:hAnsi="微软雅黑" w:eastAsia="微软雅黑" w:cs="微软雅黑"/>
                <w:sz w:val="24"/>
                <w:szCs w:val="24"/>
              </w:rPr>
            </w:pPr>
            <w:r>
              <w:rPr>
                <w:rFonts w:hint="eastAsia" w:ascii="微软雅黑" w:hAnsi="微软雅黑" w:eastAsia="微软雅黑" w:cs="微软雅黑"/>
                <w:sz w:val="24"/>
                <w:szCs w:val="24"/>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90" w:type="dxa"/>
            <w:vAlign w:val="center"/>
          </w:tcPr>
          <w:p>
            <w:pPr>
              <w:jc w:val="center"/>
              <w:rPr>
                <w:rFonts w:ascii="微软雅黑" w:hAnsi="微软雅黑" w:eastAsia="微软雅黑" w:cs="微软雅黑"/>
                <w:sz w:val="24"/>
                <w:szCs w:val="24"/>
              </w:rPr>
            </w:pPr>
            <w:r>
              <w:rPr>
                <w:rFonts w:hint="eastAsia" w:ascii="微软雅黑" w:hAnsi="微软雅黑" w:eastAsia="微软雅黑" w:cs="微软雅黑"/>
                <w:sz w:val="24"/>
                <w:szCs w:val="24"/>
              </w:rPr>
              <w:t>8</w:t>
            </w:r>
          </w:p>
        </w:tc>
        <w:tc>
          <w:tcPr>
            <w:tcW w:w="2890" w:type="dxa"/>
            <w:vAlign w:val="center"/>
          </w:tcPr>
          <w:p>
            <w:pPr>
              <w:jc w:val="center"/>
              <w:rPr>
                <w:rFonts w:ascii="微软雅黑" w:hAnsi="微软雅黑" w:eastAsia="微软雅黑" w:cs="微软雅黑"/>
                <w:sz w:val="24"/>
                <w:szCs w:val="24"/>
              </w:rPr>
            </w:pPr>
            <w:r>
              <w:rPr>
                <w:rFonts w:hint="eastAsia" w:ascii="微软雅黑" w:hAnsi="微软雅黑" w:eastAsia="微软雅黑" w:cs="微软雅黑"/>
                <w:sz w:val="24"/>
                <w:szCs w:val="24"/>
              </w:rPr>
              <w:t>个人</w:t>
            </w:r>
          </w:p>
        </w:tc>
        <w:tc>
          <w:tcPr>
            <w:tcW w:w="2491" w:type="dxa"/>
            <w:vAlign w:val="center"/>
          </w:tcPr>
          <w:p>
            <w:pPr>
              <w:jc w:val="center"/>
              <w:rPr>
                <w:rFonts w:ascii="微软雅黑" w:hAnsi="微软雅黑" w:eastAsia="微软雅黑" w:cs="微软雅黑"/>
                <w:sz w:val="24"/>
                <w:szCs w:val="24"/>
              </w:rPr>
            </w:pPr>
            <w:r>
              <w:rPr>
                <w:rFonts w:hint="eastAsia" w:ascii="微软雅黑" w:hAnsi="微软雅黑" w:eastAsia="微软雅黑" w:cs="微软雅黑"/>
                <w:sz w:val="24"/>
                <w:szCs w:val="24"/>
              </w:rPr>
              <w:t xml:space="preserve"> 12,124,411.72 </w:t>
            </w:r>
          </w:p>
        </w:tc>
        <w:tc>
          <w:tcPr>
            <w:tcW w:w="2491" w:type="dxa"/>
            <w:vAlign w:val="center"/>
          </w:tcPr>
          <w:p>
            <w:pPr>
              <w:jc w:val="center"/>
              <w:rPr>
                <w:rFonts w:ascii="微软雅黑" w:hAnsi="微软雅黑" w:eastAsia="微软雅黑" w:cs="微软雅黑"/>
                <w:sz w:val="24"/>
                <w:szCs w:val="24"/>
              </w:rPr>
            </w:pPr>
            <w:r>
              <w:rPr>
                <w:rFonts w:hint="eastAsia" w:ascii="微软雅黑" w:hAnsi="微软雅黑" w:eastAsia="微软雅黑" w:cs="微软雅黑"/>
                <w:sz w:val="24"/>
                <w:szCs w:val="24"/>
              </w:rPr>
              <w:t>0.44%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90" w:type="dxa"/>
            <w:vAlign w:val="center"/>
          </w:tcPr>
          <w:p>
            <w:pPr>
              <w:jc w:val="center"/>
              <w:rPr>
                <w:rFonts w:ascii="微软雅黑" w:hAnsi="微软雅黑" w:eastAsia="微软雅黑" w:cs="微软雅黑"/>
                <w:sz w:val="24"/>
                <w:szCs w:val="24"/>
              </w:rPr>
            </w:pPr>
            <w:r>
              <w:rPr>
                <w:rFonts w:hint="eastAsia" w:ascii="微软雅黑" w:hAnsi="微软雅黑" w:eastAsia="微软雅黑" w:cs="微软雅黑"/>
                <w:sz w:val="24"/>
                <w:szCs w:val="24"/>
              </w:rPr>
              <w:t>9</w:t>
            </w:r>
          </w:p>
        </w:tc>
        <w:tc>
          <w:tcPr>
            <w:tcW w:w="2890" w:type="dxa"/>
            <w:vAlign w:val="center"/>
          </w:tcPr>
          <w:p>
            <w:pPr>
              <w:jc w:val="center"/>
              <w:rPr>
                <w:rFonts w:ascii="微软雅黑" w:hAnsi="微软雅黑" w:eastAsia="微软雅黑" w:cs="微软雅黑"/>
                <w:sz w:val="24"/>
                <w:szCs w:val="24"/>
              </w:rPr>
            </w:pPr>
            <w:r>
              <w:rPr>
                <w:rFonts w:hint="eastAsia" w:ascii="微软雅黑" w:hAnsi="微软雅黑" w:eastAsia="微软雅黑" w:cs="微软雅黑"/>
                <w:sz w:val="24"/>
                <w:szCs w:val="24"/>
              </w:rPr>
              <w:t>个人</w:t>
            </w:r>
          </w:p>
        </w:tc>
        <w:tc>
          <w:tcPr>
            <w:tcW w:w="2491" w:type="dxa"/>
            <w:vAlign w:val="center"/>
          </w:tcPr>
          <w:p>
            <w:pPr>
              <w:jc w:val="center"/>
              <w:rPr>
                <w:rFonts w:ascii="微软雅黑" w:hAnsi="微软雅黑" w:eastAsia="微软雅黑" w:cs="微软雅黑"/>
                <w:sz w:val="24"/>
                <w:szCs w:val="24"/>
              </w:rPr>
            </w:pPr>
            <w:r>
              <w:rPr>
                <w:rFonts w:hint="eastAsia" w:ascii="微软雅黑" w:hAnsi="微软雅黑" w:eastAsia="微软雅黑" w:cs="微软雅黑"/>
                <w:sz w:val="24"/>
                <w:szCs w:val="24"/>
              </w:rPr>
              <w:t xml:space="preserve"> 11,981,390.34 </w:t>
            </w:r>
          </w:p>
        </w:tc>
        <w:tc>
          <w:tcPr>
            <w:tcW w:w="2491" w:type="dxa"/>
            <w:vAlign w:val="center"/>
          </w:tcPr>
          <w:p>
            <w:pPr>
              <w:jc w:val="center"/>
              <w:rPr>
                <w:rFonts w:ascii="微软雅黑" w:hAnsi="微软雅黑" w:eastAsia="微软雅黑" w:cs="微软雅黑"/>
                <w:sz w:val="24"/>
                <w:szCs w:val="24"/>
              </w:rPr>
            </w:pPr>
            <w:r>
              <w:rPr>
                <w:rFonts w:hint="eastAsia" w:ascii="微软雅黑" w:hAnsi="微软雅黑" w:eastAsia="微软雅黑" w:cs="微软雅黑"/>
                <w:sz w:val="24"/>
                <w:szCs w:val="24"/>
              </w:rPr>
              <w:t>0.44%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90" w:type="dxa"/>
            <w:vAlign w:val="center"/>
          </w:tcPr>
          <w:p>
            <w:pPr>
              <w:jc w:val="center"/>
              <w:rPr>
                <w:rFonts w:ascii="微软雅黑" w:hAnsi="微软雅黑" w:eastAsia="微软雅黑" w:cs="微软雅黑"/>
                <w:sz w:val="24"/>
                <w:szCs w:val="24"/>
              </w:rPr>
            </w:pPr>
            <w:r>
              <w:rPr>
                <w:rFonts w:hint="eastAsia" w:ascii="微软雅黑" w:hAnsi="微软雅黑" w:eastAsia="微软雅黑" w:cs="微软雅黑"/>
                <w:sz w:val="24"/>
                <w:szCs w:val="24"/>
              </w:rPr>
              <w:t>10</w:t>
            </w:r>
          </w:p>
        </w:tc>
        <w:tc>
          <w:tcPr>
            <w:tcW w:w="2890" w:type="dxa"/>
            <w:vAlign w:val="center"/>
          </w:tcPr>
          <w:p>
            <w:pPr>
              <w:jc w:val="center"/>
              <w:rPr>
                <w:rFonts w:ascii="微软雅黑" w:hAnsi="微软雅黑" w:eastAsia="微软雅黑" w:cs="微软雅黑"/>
                <w:sz w:val="24"/>
                <w:szCs w:val="24"/>
              </w:rPr>
            </w:pPr>
            <w:r>
              <w:rPr>
                <w:rFonts w:hint="eastAsia" w:ascii="微软雅黑" w:hAnsi="微软雅黑" w:eastAsia="微软雅黑" w:cs="微软雅黑"/>
                <w:sz w:val="24"/>
                <w:szCs w:val="24"/>
              </w:rPr>
              <w:t>机构</w:t>
            </w:r>
          </w:p>
        </w:tc>
        <w:tc>
          <w:tcPr>
            <w:tcW w:w="2491" w:type="dxa"/>
            <w:vAlign w:val="center"/>
          </w:tcPr>
          <w:p>
            <w:pPr>
              <w:jc w:val="center"/>
              <w:rPr>
                <w:rFonts w:ascii="微软雅黑" w:hAnsi="微软雅黑" w:eastAsia="微软雅黑" w:cs="微软雅黑"/>
                <w:sz w:val="24"/>
                <w:szCs w:val="24"/>
              </w:rPr>
            </w:pPr>
            <w:r>
              <w:rPr>
                <w:rFonts w:hint="eastAsia" w:ascii="微软雅黑" w:hAnsi="微软雅黑" w:eastAsia="微软雅黑" w:cs="微软雅黑"/>
                <w:sz w:val="24"/>
                <w:szCs w:val="24"/>
              </w:rPr>
              <w:t xml:space="preserve"> 10,089,394.88 </w:t>
            </w:r>
          </w:p>
        </w:tc>
        <w:tc>
          <w:tcPr>
            <w:tcW w:w="2491" w:type="dxa"/>
            <w:vAlign w:val="center"/>
          </w:tcPr>
          <w:p>
            <w:pPr>
              <w:jc w:val="center"/>
              <w:rPr>
                <w:rFonts w:ascii="微软雅黑" w:hAnsi="微软雅黑" w:eastAsia="微软雅黑" w:cs="微软雅黑"/>
                <w:sz w:val="24"/>
                <w:szCs w:val="24"/>
              </w:rPr>
            </w:pPr>
            <w:r>
              <w:rPr>
                <w:rFonts w:hint="eastAsia" w:ascii="微软雅黑" w:hAnsi="微软雅黑" w:eastAsia="微软雅黑" w:cs="微软雅黑"/>
                <w:sz w:val="24"/>
                <w:szCs w:val="24"/>
              </w:rPr>
              <w:t>0.37%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4980" w:type="dxa"/>
            <w:gridSpan w:val="2"/>
            <w:vAlign w:val="center"/>
          </w:tcPr>
          <w:p>
            <w:pPr>
              <w:jc w:val="center"/>
              <w:rPr>
                <w:rFonts w:ascii="微软雅黑" w:hAnsi="微软雅黑" w:eastAsia="微软雅黑" w:cs="微软雅黑"/>
                <w:sz w:val="24"/>
                <w:szCs w:val="24"/>
              </w:rPr>
            </w:pPr>
            <w:r>
              <w:rPr>
                <w:rFonts w:hint="eastAsia" w:ascii="微软雅黑" w:hAnsi="微软雅黑" w:eastAsia="微软雅黑" w:cs="微软雅黑"/>
                <w:sz w:val="24"/>
                <w:szCs w:val="24"/>
              </w:rPr>
              <w:t>合计比例</w:t>
            </w:r>
          </w:p>
        </w:tc>
        <w:tc>
          <w:tcPr>
            <w:tcW w:w="2491" w:type="dxa"/>
            <w:vAlign w:val="center"/>
          </w:tcPr>
          <w:p>
            <w:pPr>
              <w:jc w:val="center"/>
              <w:rPr>
                <w:rFonts w:ascii="微软雅黑" w:hAnsi="微软雅黑" w:eastAsia="微软雅黑" w:cs="微软雅黑"/>
                <w:sz w:val="24"/>
                <w:szCs w:val="24"/>
              </w:rPr>
            </w:pPr>
            <w:r>
              <w:rPr>
                <w:rFonts w:hint="eastAsia" w:ascii="微软雅黑" w:hAnsi="微软雅黑" w:eastAsia="微软雅黑" w:cs="微软雅黑"/>
                <w:sz w:val="24"/>
                <w:szCs w:val="24"/>
              </w:rPr>
              <w:t xml:space="preserve"> 157,001,435.37 </w:t>
            </w:r>
          </w:p>
        </w:tc>
        <w:tc>
          <w:tcPr>
            <w:tcW w:w="2491" w:type="dxa"/>
            <w:vAlign w:val="center"/>
          </w:tcPr>
          <w:p>
            <w:pPr>
              <w:jc w:val="center"/>
              <w:rPr>
                <w:rFonts w:ascii="微软雅黑" w:hAnsi="微软雅黑" w:eastAsia="微软雅黑" w:cs="微软雅黑"/>
                <w:sz w:val="24"/>
                <w:szCs w:val="24"/>
              </w:rPr>
            </w:pPr>
            <w:r>
              <w:rPr>
                <w:rFonts w:hint="eastAsia" w:ascii="微软雅黑" w:hAnsi="微软雅黑" w:eastAsia="微软雅黑" w:cs="微软雅黑"/>
                <w:sz w:val="24"/>
                <w:szCs w:val="24"/>
              </w:rPr>
              <w:t>5.71%</w:t>
            </w:r>
          </w:p>
        </w:tc>
      </w:tr>
    </w:tbl>
    <w:p>
      <w:pPr>
        <w:rPr>
          <w:rFonts w:hint="eastAsia" w:ascii="微软雅黑" w:hAnsi="微软雅黑" w:eastAsia="微软雅黑"/>
          <w:sz w:val="28"/>
          <w:szCs w:val="28"/>
        </w:rPr>
      </w:pPr>
    </w:p>
    <w:p>
      <w:pPr>
        <w:rPr>
          <w:rFonts w:ascii="微软雅黑" w:hAnsi="微软雅黑" w:eastAsia="微软雅黑"/>
          <w:sz w:val="28"/>
          <w:szCs w:val="28"/>
        </w:rPr>
      </w:pPr>
      <w:r>
        <w:rPr>
          <w:rFonts w:hint="eastAsia" w:ascii="微软雅黑" w:hAnsi="微软雅黑" w:eastAsia="微软雅黑"/>
          <w:sz w:val="28"/>
          <w:szCs w:val="28"/>
        </w:rPr>
        <w:t xml:space="preserve">                                                                  珠海华润银行股份有限公司</w:t>
      </w:r>
    </w:p>
    <w:p>
      <w:r>
        <w:rPr>
          <w:rFonts w:hint="eastAsia"/>
        </w:rPr>
        <w:t xml:space="preserve">                                                                                                                             </w:t>
      </w:r>
      <w:r>
        <w:rPr>
          <w:rFonts w:hint="eastAsia" w:ascii="微软雅黑" w:hAnsi="微软雅黑" w:eastAsia="微软雅黑" w:cs="微软雅黑"/>
          <w:sz w:val="28"/>
          <w:szCs w:val="28"/>
        </w:rPr>
        <w:t>2025年10月24日</w:t>
      </w:r>
    </w:p>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72EF59"/>
    <w:multiLevelType w:val="singleLevel"/>
    <w:tmpl w:val="0072EF59"/>
    <w:lvl w:ilvl="0" w:tentative="0">
      <w:start w:val="5"/>
      <w:numFmt w:val="chineseCounting"/>
      <w:suff w:val="nothing"/>
      <w:lvlText w:val="%1、"/>
      <w:lvlJc w:val="left"/>
      <w:rPr>
        <w:rFonts w:hint="eastAsia"/>
      </w:rPr>
    </w:lvl>
  </w:abstractNum>
  <w:abstractNum w:abstractNumId="1">
    <w:nsid w:val="4A750718"/>
    <w:multiLevelType w:val="singleLevel"/>
    <w:tmpl w:val="4A750718"/>
    <w:lvl w:ilvl="0" w:tentative="0">
      <w:start w:val="1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noPunctuationKerning w:val="1"/>
  <w:characterSpacingControl w:val="doNotCompress"/>
  <w:compat>
    <w:doNotLeaveBackslashAlone/>
    <w:ulTrailSpac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50A"/>
    <w:rsid w:val="007B6D84"/>
    <w:rsid w:val="00DC750A"/>
    <w:rsid w:val="EEF925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table" w:styleId="4">
    <w:name w:val="Table Grid"/>
    <w:basedOn w:val="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annotation reference"/>
    <w:basedOn w:val="5"/>
    <w:semiHidden/>
    <w:unhideWhenUsed/>
    <w:qFormat/>
    <w:uiPriority w:val="99"/>
    <w:rPr>
      <w:sz w:val="21"/>
      <w:szCs w:val="21"/>
    </w:rPr>
  </w:style>
  <w:style w:type="paragraph" w:customStyle="1" w:styleId="7">
    <w:name w:val="列出段落1"/>
    <w:basedOn w:val="1"/>
    <w:qFormat/>
    <w:uiPriority w:val="0"/>
    <w:pPr>
      <w:ind w:firstLine="420"/>
    </w:pPr>
    <w:rPr>
      <w:rFonts w:cs="Times New Roman"/>
    </w:rPr>
  </w:style>
  <w:style w:type="character" w:customStyle="1" w:styleId="8">
    <w:name w:val="10"/>
    <w:basedOn w:val="5"/>
    <w:qFormat/>
    <w:uiPriority w:val="0"/>
    <w:rPr>
      <w:rFonts w:hint="default" w:ascii="Calibri" w:hAnsi="Calibri" w:cs="Calibr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392</Words>
  <Characters>2241</Characters>
  <Lines>18</Lines>
  <Paragraphs>5</Paragraphs>
  <TotalTime>14</TotalTime>
  <ScaleCrop>false</ScaleCrop>
  <LinksUpToDate>false</LinksUpToDate>
  <CharactersWithSpaces>2628</CharactersWithSpaces>
  <Application>WPS Office_11.8.2.12185_F1E327BC-269C-435d-A152-05C5408002CA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2023-12-06T18:06:00Z</dcterms:created>
  <dc:creator>chenjianjiewb</dc:creator>
  <cp:lastModifiedBy>zhangli1625</cp:lastModifiedBy>
  <dcterms:modified xsi:type="dcterms:W3CDTF">2026-03-17T09:17:54Z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D195D68B8D4BC423C2ABB869F33E4160</vt:lpwstr>
  </property>
  <property fmtid="{D5CDD505-2E9C-101B-9397-08002B2CF9AE}" pid="3" name="KSOProductBuildVer">
    <vt:lpwstr>2052-11.8.2.12185</vt:lpwstr>
  </property>
</Properties>
</file>