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733550" cy="482600"/>
            <wp:effectExtent l="0" t="0" r="3810" b="5080"/>
            <wp:docPr id="1" name="图片 1" descr="华润银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华润银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珠海华润银行股份有限公司2023年上半年度理财业务报告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报告期：2023-01-01至2023-06-30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当期理财产品发行情况</w:t>
      </w:r>
    </w:p>
    <w:tbl>
      <w:tblPr>
        <w:tblStyle w:val="4"/>
        <w:tblW w:w="76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2847"/>
        <w:gridCol w:w="1242"/>
        <w:gridCol w:w="1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划分</w:t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发行数量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金额（亿元）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按募集方式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353.15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86.50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126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439.65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按投资性质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固定收益类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126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439.65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权益类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商品及金融衍生品类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混合类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126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439.65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备注：数据范围为本期内新发行的非保本理财产品，以及报告期内所有非保本理财产品的认购和申购数据。</w:t>
      </w:r>
    </w:p>
    <w:p>
      <w:pPr>
        <w:rPr>
          <w:sz w:val="24"/>
        </w:rPr>
      </w:pP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当期理财产品到期情况</w:t>
      </w:r>
    </w:p>
    <w:tbl>
      <w:tblPr>
        <w:tblStyle w:val="4"/>
        <w:tblW w:w="771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2420"/>
        <w:gridCol w:w="1055"/>
        <w:gridCol w:w="2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划分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到期数量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到期及赎回金额（亿元）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按募集方式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370.21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64.54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111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434.75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按投资性质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固定收益类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111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434.75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权益类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商品及金融衍生品类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混合类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111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434.75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备注：数据范围为本期内到期的非保本理财产品，以及报告期内所有非保本理财产品的到期和赎回数据。</w:t>
      </w:r>
    </w:p>
    <w:p>
      <w:pPr>
        <w:spacing w:line="360" w:lineRule="auto"/>
        <w:rPr>
          <w:sz w:val="24"/>
        </w:rPr>
      </w:pP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期末存续理财产品情况</w:t>
      </w:r>
    </w:p>
    <w:tbl>
      <w:tblPr>
        <w:tblStyle w:val="4"/>
        <w:tblpPr w:leftFromText="180" w:rightFromText="180" w:vertAnchor="text" w:horzAnchor="page" w:tblpXSpec="center" w:tblpY="221"/>
        <w:tblOverlap w:val="never"/>
        <w:tblW w:w="85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289"/>
        <w:gridCol w:w="843"/>
        <w:gridCol w:w="1066"/>
        <w:gridCol w:w="1173"/>
        <w:gridCol w:w="1223"/>
        <w:gridCol w:w="1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划分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（亿元）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金额占比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上期末金额占比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金额占比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变动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按募集方式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60.02%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65.87%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-5.85%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140.27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39.98%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34.13%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+5.85%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350.83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100.00%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100.00%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按投资性质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固定收益类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350.83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100.00%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100.00%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权益类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商品及金融衍生品类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混合类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350.83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100.00%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100.00%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备注：数据范围为报告期末存续的非保本理财产品</w:t>
      </w:r>
    </w:p>
    <w:p>
      <w:pPr>
        <w:rPr>
          <w:sz w:val="24"/>
        </w:rPr>
      </w:pP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理财产品投资资产情况</w:t>
      </w:r>
    </w:p>
    <w:tbl>
      <w:tblPr>
        <w:tblStyle w:val="4"/>
        <w:tblpPr w:leftFromText="180" w:rightFromText="180" w:vertAnchor="text" w:horzAnchor="page" w:tblpXSpec="center" w:tblpY="129"/>
        <w:tblOverlap w:val="never"/>
        <w:tblW w:w="84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1277"/>
        <w:gridCol w:w="1245"/>
        <w:gridCol w:w="1358"/>
        <w:gridCol w:w="14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资产类别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穿透前金额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（亿元）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占总资产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比例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穿透后金额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（亿元）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占总资产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1.1 现金及银行存款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6.90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1.96%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11.60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1.2 同业存单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17.41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4.95%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17.41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4.28%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1.3 拆放同业及债券买入返售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29.34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8.34%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32.02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7.87%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1.4 债券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38.90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11.06%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329.18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80.94%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1.5 非标准化债权类资产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13.25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3.76%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13.54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1.6 权益类投资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1.7 公募基金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1.31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0.37%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2.92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0.72%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1.8 资产管理产品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244.78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69.56%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351.89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100.00%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406.67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100.00%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备注：资产的分类遵循中国银保监会G06非保本理财业务月度统计表中的分类和口径。</w:t>
      </w: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珠海华润银行股份有限公司</w:t>
      </w: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2023年7月12日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CED94"/>
    <w:multiLevelType w:val="singleLevel"/>
    <w:tmpl w:val="581CED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7A"/>
    <w:rsid w:val="0025391B"/>
    <w:rsid w:val="002E3E94"/>
    <w:rsid w:val="004C317A"/>
    <w:rsid w:val="00587903"/>
    <w:rsid w:val="005B02CB"/>
    <w:rsid w:val="008D261A"/>
    <w:rsid w:val="00CB197F"/>
    <w:rsid w:val="00D77C77"/>
    <w:rsid w:val="00E36DD9"/>
    <w:rsid w:val="00E64567"/>
    <w:rsid w:val="0D331AE1"/>
    <w:rsid w:val="12457C1F"/>
    <w:rsid w:val="1D6B6A19"/>
    <w:rsid w:val="209F7223"/>
    <w:rsid w:val="20EA042D"/>
    <w:rsid w:val="23F50EF5"/>
    <w:rsid w:val="2AFF04BF"/>
    <w:rsid w:val="2B616A9D"/>
    <w:rsid w:val="4C3B2D4B"/>
    <w:rsid w:val="57874E59"/>
    <w:rsid w:val="5AAA2F5D"/>
    <w:rsid w:val="5B0D5D79"/>
    <w:rsid w:val="6F1003E0"/>
    <w:rsid w:val="7F4F4D02"/>
    <w:rsid w:val="7F9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952</Characters>
  <Lines>7</Lines>
  <Paragraphs>2</Paragraphs>
  <TotalTime>0</TotalTime>
  <ScaleCrop>false</ScaleCrop>
  <LinksUpToDate>false</LinksUpToDate>
  <CharactersWithSpaces>1117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2023-07-12T09:43:00Z</dcterms:created>
  <dc:creator>linaina1</dc:creator>
  <cp:lastModifiedBy>李容露</cp:lastModifiedBy>
  <dcterms:modified xsi:type="dcterms:W3CDTF">2023-07-13T09:00:08Z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AE9BF1B8483C4EC89636DB90839FFB3F</vt:lpwstr>
  </property>
</Properties>
</file>