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AC38D3">
      <w:pPr>
        <w:spacing w:line="320" w:lineRule="exact"/>
        <w:jc w:val="center"/>
        <w:rPr>
          <w:rFonts w:ascii="微软雅黑" w:hAnsi="微软雅黑" w:eastAsia="微软雅黑"/>
          <w:b/>
          <w:sz w:val="28"/>
          <w:szCs w:val="28"/>
          <w:highlight w:val="none"/>
        </w:rPr>
      </w:pPr>
      <w:r>
        <w:rPr>
          <w:rFonts w:hint="eastAsia" w:ascii="微软雅黑" w:hAnsi="微软雅黑" w:eastAsia="微软雅黑"/>
          <w:b/>
          <w:sz w:val="28"/>
          <w:szCs w:val="28"/>
          <w:highlight w:val="none"/>
          <w:lang w:eastAsia="zh-CN"/>
        </w:rPr>
        <w:t>广东华润银行润悦1号第1142期理财产品说明书</w:t>
      </w:r>
      <w:r>
        <w:rPr>
          <w:rFonts w:hint="eastAsia" w:ascii="微软雅黑" w:hAnsi="微软雅黑" w:eastAsia="微软雅黑"/>
          <w:b/>
          <w:sz w:val="28"/>
          <w:szCs w:val="28"/>
          <w:highlight w:val="none"/>
        </w:rPr>
      </w:r>
      <w:r>
        <w:rPr>
          <w:rFonts w:hint="eastAsia" w:ascii="微软雅黑" w:hAnsi="微软雅黑" w:eastAsia="微软雅黑"/>
          <w:b/>
          <w:sz w:val="28"/>
          <w:szCs w:val="28"/>
          <w:highlight w:val="none"/>
          <w:lang w:val="en-US" w:eastAsia="zh-CN"/>
        </w:rPr>
      </w:r>
      <w:r>
        <w:rPr>
          <w:rFonts w:hint="eastAsia" w:ascii="微软雅黑" w:hAnsi="微软雅黑" w:eastAsia="微软雅黑"/>
          <w:b/>
          <w:sz w:val="28"/>
          <w:szCs w:val="28"/>
          <w:highlight w:val="none"/>
        </w:rPr>
      </w:r>
    </w:p>
    <w:p w14:paraId="22999877">
      <w:pPr>
        <w:spacing w:beforeLines="-2147483648" w:afterLines="-2147483648" w:line="300" w:lineRule="exact"/>
        <w:ind w:firstLine="360" w:firstLineChars="200"/>
        <w:rPr>
          <w:rFonts w:hint="eastAsia" w:ascii="方正黑体简体" w:hAnsi="方正黑体简体" w:eastAsia="方正黑体简体" w:cs="方正黑体简体"/>
          <w:b/>
          <w:bCs w:val="0"/>
          <w:sz w:val="18"/>
          <w:szCs w:val="18"/>
        </w:rPr>
      </w:pPr>
    </w:p>
    <w:p w14:paraId="27FF6A12">
      <w:pPr>
        <w:spacing w:beforeLines="-2147483648" w:afterLines="-2147483648" w:line="320" w:lineRule="exact"/>
        <w:ind w:firstLine="400" w:firstLineChars="200"/>
        <w:rPr>
          <w:rFonts w:hint="eastAsia" w:ascii="微软雅黑" w:hAnsi="微软雅黑" w:eastAsia="微软雅黑" w:cs="微软雅黑"/>
          <w:b/>
          <w:bCs w:val="0"/>
          <w:sz w:val="20"/>
          <w:szCs w:val="20"/>
        </w:rPr>
      </w:pPr>
      <w:r>
        <w:rPr>
          <w:rFonts w:hint="eastAsia" w:ascii="微软雅黑" w:hAnsi="微软雅黑" w:eastAsia="微软雅黑" w:cs="微软雅黑"/>
          <w:b/>
          <w:bCs w:val="0"/>
          <w:sz w:val="20"/>
          <w:szCs w:val="20"/>
        </w:rPr>
        <w:t>【重要提示】为了保障您的合法权益，您在签署本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前，</w:t>
      </w:r>
      <w:r>
        <w:rPr>
          <w:rFonts w:hint="eastAsia" w:ascii="微软雅黑" w:hAnsi="微软雅黑" w:eastAsia="微软雅黑" w:cs="微软雅黑"/>
          <w:b/>
          <w:bCs w:val="0"/>
          <w:sz w:val="20"/>
          <w:szCs w:val="20"/>
          <w:lang w:val="en-US" w:eastAsia="zh-CN"/>
        </w:rPr>
        <w:t>请您</w:t>
      </w:r>
      <w:r>
        <w:rPr>
          <w:rFonts w:hint="eastAsia" w:ascii="微软雅黑" w:hAnsi="微软雅黑" w:eastAsia="微软雅黑" w:cs="微软雅黑"/>
          <w:b/>
          <w:bCs w:val="0"/>
          <w:sz w:val="20"/>
          <w:szCs w:val="20"/>
        </w:rPr>
        <w:t>审慎阅读、充分理解本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所有条款</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请</w:t>
      </w:r>
      <w:r>
        <w:rPr>
          <w:rFonts w:hint="eastAsia" w:ascii="微软雅黑" w:hAnsi="微软雅黑" w:eastAsia="微软雅黑" w:cs="微软雅黑"/>
          <w:b/>
          <w:bCs w:val="0"/>
          <w:sz w:val="20"/>
          <w:szCs w:val="20"/>
          <w:lang w:val="en-US" w:eastAsia="zh-CN"/>
        </w:rPr>
        <w:t>您</w:t>
      </w:r>
      <w:r>
        <w:rPr>
          <w:rFonts w:hint="eastAsia" w:ascii="微软雅黑" w:hAnsi="微软雅黑" w:eastAsia="微软雅黑" w:cs="微软雅黑"/>
          <w:b/>
          <w:bCs w:val="0"/>
          <w:sz w:val="20"/>
          <w:szCs w:val="20"/>
        </w:rPr>
        <w:t>注意免除或者减轻</w:t>
      </w:r>
      <w:r>
        <w:rPr>
          <w:rFonts w:hint="eastAsia" w:ascii="微软雅黑" w:hAnsi="微软雅黑" w:eastAsia="微软雅黑" w:cs="微软雅黑"/>
          <w:b/>
          <w:bCs w:val="0"/>
          <w:sz w:val="20"/>
          <w:szCs w:val="20"/>
          <w:lang w:val="en-US" w:eastAsia="zh-CN"/>
        </w:rPr>
        <w:t>广东华润银行</w:t>
      </w:r>
      <w:r>
        <w:rPr>
          <w:rFonts w:hint="eastAsia" w:ascii="微软雅黑" w:hAnsi="微软雅黑" w:eastAsia="微软雅黑" w:cs="微软雅黑"/>
          <w:b/>
          <w:bCs w:val="0"/>
          <w:sz w:val="20"/>
          <w:szCs w:val="20"/>
        </w:rPr>
        <w:t>责任、排除或者限制</w:t>
      </w:r>
      <w:r>
        <w:rPr>
          <w:rFonts w:hint="eastAsia" w:ascii="微软雅黑" w:hAnsi="微软雅黑" w:eastAsia="微软雅黑" w:cs="微软雅黑"/>
          <w:b/>
          <w:bCs w:val="0"/>
          <w:sz w:val="20"/>
          <w:szCs w:val="20"/>
          <w:lang w:val="en-US" w:eastAsia="zh-CN"/>
        </w:rPr>
        <w:t>您的</w:t>
      </w:r>
      <w:r>
        <w:rPr>
          <w:rFonts w:hint="eastAsia" w:ascii="微软雅黑" w:hAnsi="微软雅黑" w:eastAsia="微软雅黑" w:cs="微软雅黑"/>
          <w:b/>
          <w:bCs w:val="0"/>
          <w:sz w:val="20"/>
          <w:szCs w:val="20"/>
        </w:rPr>
        <w:t>权利</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与</w:t>
      </w:r>
      <w:r>
        <w:rPr>
          <w:rFonts w:hint="eastAsia" w:ascii="微软雅黑" w:hAnsi="微软雅黑" w:eastAsia="微软雅黑" w:cs="微软雅黑"/>
          <w:b/>
          <w:bCs w:val="0"/>
          <w:sz w:val="20"/>
          <w:szCs w:val="20"/>
          <w:lang w:val="en-US" w:eastAsia="zh-CN"/>
        </w:rPr>
        <w:t>您</w:t>
      </w:r>
      <w:r>
        <w:rPr>
          <w:rFonts w:hint="eastAsia" w:ascii="微软雅黑" w:hAnsi="微软雅黑" w:eastAsia="微软雅黑" w:cs="微软雅黑"/>
          <w:b/>
          <w:bCs w:val="0"/>
          <w:sz w:val="20"/>
          <w:szCs w:val="20"/>
        </w:rPr>
        <w:t>有重大利害关系的异常条款（特别是加黑字体</w:t>
      </w:r>
      <w:r>
        <w:rPr>
          <w:rFonts w:hint="eastAsia" w:ascii="微软雅黑" w:hAnsi="微软雅黑" w:eastAsia="微软雅黑" w:cs="微软雅黑"/>
          <w:b/>
          <w:bCs w:val="0"/>
          <w:sz w:val="20"/>
          <w:szCs w:val="20"/>
          <w:lang w:val="en-US" w:eastAsia="zh-CN"/>
        </w:rPr>
        <w:t>的</w:t>
      </w:r>
      <w:r>
        <w:rPr>
          <w:rFonts w:hint="eastAsia" w:ascii="微软雅黑" w:hAnsi="微软雅黑" w:eastAsia="微软雅黑" w:cs="微软雅黑"/>
          <w:b/>
          <w:bCs w:val="0"/>
          <w:sz w:val="20"/>
          <w:szCs w:val="20"/>
        </w:rPr>
        <w:t>条款）。如本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为通过广东华润银行电子业务系统线上签署的，如您</w:t>
      </w:r>
      <w:r>
        <w:rPr>
          <w:rFonts w:hint="eastAsia" w:ascii="微软雅黑" w:hAnsi="微软雅黑" w:eastAsia="微软雅黑" w:cs="微软雅黑"/>
          <w:b/>
          <w:bCs w:val="0"/>
          <w:sz w:val="20"/>
          <w:szCs w:val="20"/>
        </w:rPr>
        <w:t>不同意本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，请不要进行下一步操作</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您在</w:t>
      </w:r>
      <w:r>
        <w:rPr>
          <w:rFonts w:hint="eastAsia" w:ascii="微软雅黑" w:hAnsi="微软雅黑" w:eastAsia="微软雅黑" w:cs="微软雅黑"/>
          <w:b/>
          <w:bCs w:val="0"/>
          <w:sz w:val="20"/>
          <w:szCs w:val="20"/>
          <w:lang w:val="en-US" w:eastAsia="zh-CN"/>
        </w:rPr>
        <w:t>电子渠道</w:t>
      </w:r>
      <w:r>
        <w:rPr>
          <w:rFonts w:hint="eastAsia" w:ascii="微软雅黑" w:hAnsi="微软雅黑" w:eastAsia="微软雅黑" w:cs="微软雅黑"/>
          <w:b/>
          <w:bCs w:val="0"/>
          <w:sz w:val="20"/>
          <w:szCs w:val="20"/>
        </w:rPr>
        <w:t>操作页面上的</w:t>
      </w:r>
      <w:r>
        <w:rPr>
          <w:rFonts w:hint="eastAsia" w:ascii="微软雅黑" w:hAnsi="微软雅黑" w:eastAsia="微软雅黑" w:cs="微软雅黑"/>
          <w:b/>
          <w:bCs w:val="0"/>
          <w:sz w:val="20"/>
          <w:szCs w:val="20"/>
          <w:lang w:val="en-US" w:eastAsia="zh-CN"/>
        </w:rPr>
        <w:t>点击同意/</w:t>
      </w:r>
      <w:r>
        <w:rPr>
          <w:rFonts w:hint="eastAsia" w:ascii="微软雅黑" w:hAnsi="微软雅黑" w:eastAsia="微软雅黑" w:cs="微软雅黑"/>
          <w:b/>
          <w:bCs w:val="0"/>
          <w:sz w:val="20"/>
          <w:szCs w:val="20"/>
        </w:rPr>
        <w:t>确认、勾选等即表示您已阅读并同意本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，即</w:t>
      </w:r>
      <w:r>
        <w:rPr>
          <w:rFonts w:hint="eastAsia" w:ascii="微软雅黑" w:hAnsi="微软雅黑" w:eastAsia="微软雅黑" w:cs="微软雅黑"/>
          <w:b/>
          <w:bCs w:val="0"/>
          <w:sz w:val="20"/>
          <w:szCs w:val="20"/>
          <w:lang w:val="en-US" w:eastAsia="zh-CN"/>
        </w:rPr>
        <w:t>已完成签署并具有法律约束力</w:t>
      </w:r>
      <w:r>
        <w:rPr>
          <w:rFonts w:hint="eastAsia" w:ascii="微软雅黑" w:hAnsi="微软雅黑" w:eastAsia="微软雅黑" w:cs="微软雅黑"/>
          <w:b/>
          <w:bCs w:val="0"/>
          <w:sz w:val="20"/>
          <w:szCs w:val="20"/>
        </w:rPr>
        <w:t>。</w:t>
      </w:r>
    </w:p>
    <w:p w14:paraId="46EA6106">
      <w:pPr>
        <w:adjustRightInd/>
        <w:snapToGrid/>
        <w:spacing w:before="0" w:beforeLines="-2147483648" w:after="0" w:afterLines="-2147483648" w:line="320" w:lineRule="exact"/>
        <w:ind w:firstLine="400" w:firstLineChars="200"/>
        <w:jc w:val="left"/>
        <w:rPr>
          <w:rFonts w:hint="eastAsia" w:ascii="微软雅黑" w:hAnsi="微软雅黑" w:eastAsia="微软雅黑" w:cs="微软雅黑"/>
          <w:b/>
          <w:bCs w:val="0"/>
          <w:color w:val="000000"/>
          <w:kern w:val="0"/>
          <w:sz w:val="20"/>
          <w:szCs w:val="20"/>
          <w:lang w:val="en-US" w:eastAsia="zh-CN" w:bidi="ar"/>
        </w:rPr>
      </w:pPr>
      <w:r>
        <w:rPr>
          <w:rFonts w:hint="eastAsia" w:ascii="微软雅黑" w:hAnsi="微软雅黑" w:eastAsia="微软雅黑" w:cs="微软雅黑"/>
          <w:b/>
          <w:bCs w:val="0"/>
          <w:color w:val="000000"/>
          <w:kern w:val="0"/>
          <w:sz w:val="20"/>
          <w:szCs w:val="20"/>
          <w:lang w:val="en-US" w:eastAsia="zh-CN" w:bidi="ar"/>
        </w:rPr>
        <w:t>本理财产品不等同于银行存款，管理人不保证本理财产品一定盈利，也不保证最低收益和本金安全。理财产品过往业绩不代表其未来表现，不等于理财产品实际收益，投资须谨慎。</w:t>
      </w:r>
    </w:p>
    <w:p w14:paraId="365CC05A">
      <w:pPr>
        <w:adjustRightInd/>
        <w:snapToGrid/>
        <w:spacing w:before="0" w:beforeLines="-2147483648" w:after="0" w:afterLines="-2147483648" w:line="320" w:lineRule="exact"/>
        <w:ind w:left="0" w:right="0" w:firstLine="400" w:firstLineChars="200"/>
        <w:jc w:val="left"/>
        <w:rPr>
          <w:rFonts w:hint="eastAsia" w:ascii="微软雅黑" w:hAnsi="微软雅黑" w:eastAsia="微软雅黑" w:cs="微软雅黑"/>
          <w:b/>
          <w:bCs w:val="0"/>
          <w:color w:val="000000" w:themeColor="text1"/>
          <w:sz w:val="20"/>
          <w:szCs w:val="20"/>
          <w14:textFill>
            <w14:solidFill>
              <w14:schemeClr w14:val="tx1"/>
            </w14:solidFill>
          </w14:textFill>
        </w:rPr>
      </w:pPr>
      <w:r>
        <w:rPr>
          <w:rFonts w:hint="eastAsia" w:ascii="微软雅黑" w:hAnsi="微软雅黑" w:eastAsia="微软雅黑" w:cs="微软雅黑"/>
          <w:b/>
          <w:bCs w:val="0"/>
          <w:sz w:val="20"/>
          <w:szCs w:val="20"/>
        </w:rPr>
        <w:t>如您有任何疑虑</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异议或任何相关投诉，请您立即联系</w:t>
      </w:r>
      <w:r>
        <w:rPr>
          <w:rFonts w:hint="eastAsia" w:ascii="微软雅黑" w:hAnsi="微软雅黑" w:eastAsia="微软雅黑" w:cs="微软雅黑"/>
          <w:b/>
          <w:bCs w:val="0"/>
          <w:sz w:val="20"/>
          <w:szCs w:val="20"/>
          <w:lang w:val="en-US" w:eastAsia="zh-CN"/>
        </w:rPr>
        <w:t>广东华润银行</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联系方式：</w:t>
      </w:r>
      <w:r>
        <w:rPr>
          <w:rFonts w:hint="eastAsia" w:ascii="微软雅黑" w:hAnsi="微软雅黑" w:eastAsia="微软雅黑" w:cs="微软雅黑"/>
          <w:b/>
          <w:bCs w:val="0"/>
          <w:sz w:val="20"/>
          <w:szCs w:val="20"/>
        </w:rPr>
        <w:t>联系电话</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0756</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96588</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华润银行APP“在线客服”、官方网站(http://www.crbank.com.cn)以及</w:t>
      </w:r>
      <w:r>
        <w:rPr>
          <w:rFonts w:hint="eastAsia" w:ascii="微软雅黑" w:hAnsi="微软雅黑" w:eastAsia="微软雅黑" w:cs="微软雅黑"/>
          <w:b/>
          <w:bCs w:val="0"/>
          <w:sz w:val="20"/>
          <w:szCs w:val="20"/>
          <w:lang w:val="en-US" w:eastAsia="zh-CN"/>
        </w:rPr>
        <w:t>华润银行</w:t>
      </w:r>
      <w:r>
        <w:rPr>
          <w:rFonts w:hint="eastAsia" w:ascii="微软雅黑" w:hAnsi="微软雅黑" w:eastAsia="微软雅黑" w:cs="微软雅黑"/>
          <w:b/>
          <w:bCs w:val="0"/>
          <w:sz w:val="20"/>
          <w:szCs w:val="20"/>
        </w:rPr>
        <w:t>各营业网点</w:t>
      </w:r>
      <w:r>
        <w:rPr>
          <w:rFonts w:hint="eastAsia" w:ascii="微软雅黑" w:hAnsi="微软雅黑" w:eastAsia="微软雅黑" w:cs="微软雅黑"/>
          <w:b/>
          <w:bCs w:val="0"/>
          <w:sz w:val="20"/>
          <w:szCs w:val="20"/>
          <w:lang w:val="en-US" w:eastAsia="zh-CN"/>
        </w:rPr>
        <w:t>/理财经理</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，以便对相关内容进行解释</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说明</w:t>
      </w:r>
      <w:r>
        <w:rPr>
          <w:rFonts w:hint="eastAsia" w:ascii="微软雅黑" w:hAnsi="微软雅黑" w:eastAsia="微软雅黑" w:cs="微软雅黑"/>
          <w:b/>
          <w:bCs w:val="0"/>
          <w:sz w:val="20"/>
          <w:szCs w:val="20"/>
          <w:lang w:val="en-US" w:eastAsia="zh-CN"/>
        </w:rPr>
        <w:t>，对相关问题提供解决方案</w:t>
      </w:r>
      <w:r>
        <w:rPr>
          <w:rFonts w:hint="eastAsia" w:ascii="微软雅黑" w:hAnsi="微软雅黑" w:eastAsia="微软雅黑" w:cs="微软雅黑"/>
          <w:b/>
          <w:bCs w:val="0"/>
          <w:sz w:val="20"/>
          <w:szCs w:val="20"/>
        </w:rPr>
        <w:t>。</w:t>
      </w:r>
    </w:p>
    <w:p w14:paraId="2641EB5D">
      <w:pPr>
        <w:numPr>
          <w:ilvl w:val="-1"/>
          <w:numId w:val="0"/>
        </w:numPr>
        <w:spacing w:before="157" w:beforeLines="50" w:afterLines="0" w:line="320" w:lineRule="exact"/>
        <w:ind w:left="0" w:firstLine="400" w:firstLineChars="200"/>
        <w:rPr>
          <w:rFonts w:hint="eastAsia" w:ascii="微软雅黑" w:hAnsi="微软雅黑" w:eastAsia="微软雅黑" w:cs="微软雅黑"/>
          <w:b/>
          <w:bCs/>
          <w:spacing w:val="0"/>
          <w:sz w:val="20"/>
          <w:szCs w:val="20"/>
          <w:highlight w:val="none"/>
          <w:lang w:val="en-US" w:eastAsia="zh-CN"/>
        </w:rPr>
      </w:pPr>
      <w:r>
        <w:rPr>
          <w:rFonts w:hint="eastAsia" w:ascii="微软雅黑" w:hAnsi="微软雅黑" w:eastAsia="微软雅黑" w:cs="微软雅黑"/>
          <w:b/>
          <w:bCs/>
          <w:spacing w:val="0"/>
          <w:sz w:val="20"/>
          <w:szCs w:val="20"/>
          <w:highlight w:val="none"/>
          <w:lang w:val="en-US" w:eastAsia="zh-CN"/>
        </w:rPr>
        <w:t>一、释义</w:t>
      </w:r>
    </w:p>
    <w:p w14:paraId="1DB1F4DD">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》中，下列词语或简称具有如下含义：</w:t>
      </w:r>
    </w:p>
    <w:p w14:paraId="70DF771A">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.广东</w:t>
      </w:r>
      <w:r>
        <w:rPr>
          <w:rFonts w:hint="eastAsia" w:ascii="微软雅黑" w:hAnsi="微软雅黑" w:eastAsia="微软雅黑" w:cs="微软雅黑"/>
          <w:sz w:val="20"/>
          <w:szCs w:val="20"/>
          <w:highlight w:val="none"/>
          <w:lang w:eastAsia="zh-CN"/>
        </w:rPr>
        <w:t>华润银行</w:t>
      </w:r>
      <w:r>
        <w:rPr>
          <w:rFonts w:hint="eastAsia" w:ascii="微软雅黑" w:hAnsi="微软雅黑" w:eastAsia="微软雅黑" w:cs="微软雅黑"/>
          <w:sz w:val="20"/>
          <w:szCs w:val="20"/>
          <w:highlight w:val="none"/>
        </w:rPr>
        <w:t>：指</w:t>
      </w:r>
      <w:r>
        <w:rPr>
          <w:rFonts w:hint="eastAsia" w:ascii="微软雅黑" w:hAnsi="微软雅黑" w:eastAsia="微软雅黑" w:cs="微软雅黑"/>
          <w:sz w:val="20"/>
          <w:szCs w:val="20"/>
          <w:highlight w:val="none"/>
          <w:lang w:eastAsia="zh-CN"/>
        </w:rPr>
        <w:t>广东华润银行股份有限公司</w:t>
      </w:r>
    </w:p>
    <w:p w14:paraId="3DEF8B51">
      <w:pPr>
        <w:spacing w:beforeLines="0" w:afterLines="0" w:line="320" w:lineRule="exact"/>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元：指人民币元</w:t>
      </w:r>
    </w:p>
    <w:p w14:paraId="56B26804">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管理人/产品管理人：指</w:t>
      </w:r>
      <w:r>
        <w:rPr>
          <w:rFonts w:hint="eastAsia" w:ascii="微软雅黑" w:hAnsi="微软雅黑" w:eastAsia="微软雅黑" w:cs="微软雅黑"/>
          <w:sz w:val="20"/>
          <w:szCs w:val="20"/>
          <w:highlight w:val="none"/>
          <w:lang w:eastAsia="zh-CN"/>
        </w:rPr>
        <w:t>广东华润银行股份有限公司</w:t>
      </w:r>
      <w:r>
        <w:rPr>
          <w:rFonts w:hint="eastAsia" w:ascii="微软雅黑" w:hAnsi="微软雅黑" w:eastAsia="微软雅黑" w:cs="微软雅黑"/>
          <w:sz w:val="20"/>
          <w:szCs w:val="20"/>
          <w:highlight w:val="none"/>
        </w:rPr>
        <w:t>。产品管理人接受投资者的委托和授权，按照本理财</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约定的投资范围和比例，进行投资运作和资产管理，代表理财产品签订投资和资产管理过程中涉及到的协议、合同等文本。</w:t>
      </w:r>
    </w:p>
    <w:p w14:paraId="3C2EC96F">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托管人/产品托管人：指</w:t>
      </w:r>
      <w:r>
        <w:rPr>
          <w:rFonts w:hint="eastAsia" w:ascii="微软雅黑" w:hAnsi="微软雅黑" w:eastAsia="微软雅黑" w:cs="微软雅黑"/>
          <w:sz w:val="20"/>
          <w:szCs w:val="20"/>
          <w:highlight w:val="none"/>
          <w:lang w:val="en-US" w:eastAsia="zh-CN"/>
        </w:rPr>
        <w:t>宁波</w:t>
      </w:r>
      <w:r>
        <w:rPr>
          <w:rFonts w:hint="eastAsia" w:ascii="微软雅黑" w:hAnsi="微软雅黑" w:eastAsia="微软雅黑" w:cs="微软雅黑"/>
          <w:sz w:val="20"/>
          <w:szCs w:val="20"/>
          <w:highlight w:val="none"/>
        </w:rPr>
        <w:t>银行股份有限公司。其具备理财产品托管资格，提供包括账户开立、资金保管、资产清算、估值核算等理财产品托管服务。</w:t>
      </w:r>
    </w:p>
    <w:p w14:paraId="00A93E0F">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5</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销售机构：指</w:t>
      </w:r>
      <w:r>
        <w:rPr>
          <w:rFonts w:hint="eastAsia" w:ascii="微软雅黑" w:hAnsi="微软雅黑" w:eastAsia="微软雅黑" w:cs="微软雅黑"/>
          <w:sz w:val="20"/>
          <w:szCs w:val="20"/>
          <w:highlight w:val="none"/>
          <w:lang w:eastAsia="zh-CN"/>
        </w:rPr>
        <w:t>广东华润银行股份有限公司。</w:t>
      </w:r>
      <w:r>
        <w:rPr>
          <w:rFonts w:hint="eastAsia" w:ascii="微软雅黑" w:hAnsi="微软雅黑" w:eastAsia="微软雅黑" w:cs="微软雅黑"/>
          <w:sz w:val="20"/>
          <w:szCs w:val="20"/>
          <w:highlight w:val="none"/>
          <w:lang w:val="en-US" w:eastAsia="zh-CN"/>
        </w:rPr>
        <w:t>其</w:t>
      </w:r>
      <w:r>
        <w:rPr>
          <w:rFonts w:hint="eastAsia" w:ascii="微软雅黑" w:hAnsi="微软雅黑" w:eastAsia="微软雅黑" w:cs="微软雅黑"/>
          <w:sz w:val="20"/>
          <w:szCs w:val="20"/>
          <w:highlight w:val="none"/>
        </w:rPr>
        <w:t>负责理财产品宣传推广、投资者风险承受能力评估和投资者适当性管理、理财产品</w:t>
      </w:r>
      <w:r>
        <w:rPr>
          <w:rFonts w:hint="eastAsia" w:ascii="微软雅黑" w:hAnsi="微软雅黑" w:eastAsia="微软雅黑" w:cs="微软雅黑"/>
          <w:sz w:val="20"/>
          <w:szCs w:val="20"/>
          <w:highlight w:val="none"/>
          <w:lang w:eastAsia="zh-CN"/>
        </w:rPr>
        <w:t>投资者</w:t>
      </w:r>
      <w:r>
        <w:rPr>
          <w:rFonts w:hint="eastAsia" w:ascii="微软雅黑" w:hAnsi="微软雅黑" w:eastAsia="微软雅黑" w:cs="微软雅黑"/>
          <w:sz w:val="20"/>
          <w:szCs w:val="20"/>
          <w:highlight w:val="none"/>
        </w:rPr>
        <w:t>身份识别</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理财产品份额认购/申购/赎回（如有）、合同签署、接受投资者咨询和</w:t>
      </w:r>
      <w:r>
        <w:rPr>
          <w:rFonts w:hint="eastAsia" w:ascii="微软雅黑" w:hAnsi="微软雅黑" w:eastAsia="微软雅黑" w:cs="微软雅黑"/>
          <w:sz w:val="20"/>
          <w:szCs w:val="20"/>
          <w:highlight w:val="none"/>
          <w:lang w:eastAsia="zh-CN"/>
        </w:rPr>
        <w:t>投资者</w:t>
      </w:r>
      <w:r>
        <w:rPr>
          <w:rFonts w:hint="eastAsia" w:ascii="微软雅黑" w:hAnsi="微软雅黑" w:eastAsia="微软雅黑" w:cs="微软雅黑"/>
          <w:sz w:val="20"/>
          <w:szCs w:val="20"/>
          <w:highlight w:val="none"/>
        </w:rPr>
        <w:t>维护等销售服务工作。</w:t>
      </w:r>
    </w:p>
    <w:p w14:paraId="6B5BFEC2">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6</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投资合作机构：包括但不限于理财产品所投资资产管理产品的发行机构、根据合同约定从事理财产品受托投资的机构以及与理财产品投资管理相关的投资顾问等；主要职责为进行受托资金的投资管理，根据合同约定从事受托投资或提供投资顾问等服务，具体职责以产品管理人与投资合作机构签署的合同为准。本理财产品投资合作机构可能包括但不限于</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证券管理有限公司、基金管理有限公司、资产管理有限公司等，理财产品管理人可根据产品实际运作情况，在符合监管要求的前提下调整理财投资合作机构。</w:t>
      </w:r>
    </w:p>
    <w:p w14:paraId="594C72D1">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7</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客户/</w:t>
      </w:r>
      <w:r>
        <w:rPr>
          <w:rFonts w:hint="eastAsia" w:ascii="微软雅黑" w:hAnsi="微软雅黑" w:eastAsia="微软雅黑" w:cs="微软雅黑"/>
          <w:sz w:val="20"/>
          <w:szCs w:val="20"/>
          <w:highlight w:val="none"/>
        </w:rPr>
        <w:t>投资者：指依据本《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》成功购买本理财产品份额的个人投资者/机构投资者。</w:t>
      </w:r>
    </w:p>
    <w:p w14:paraId="460A3E23">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8</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合格投资者：具备相应风险识别能力和风险承受能力，投资于单只理财产品不低于一定金额且符合一定条件的投资主体。</w:t>
      </w:r>
    </w:p>
    <w:p w14:paraId="35946BF3">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9</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开放式理财产品：指自产品成立日至终止日期间，理财产品份额总额不固定，投资者可以按照协议约定，在开放日和相应场所进行认购或者赎回的理财产品。</w:t>
      </w:r>
    </w:p>
    <w:p w14:paraId="366083D8">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10.固定收益类理财产品：指投资于存款、债券等债权类资产的比例不低于80%的理财产品。</w:t>
      </w:r>
    </w:p>
    <w:p w14:paraId="5D451AE1">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1</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募集期：指本理财产品自发售之日到正式成立之间的时间段。产品管理人有权根据市场变化情况缩短或延长募集期，并进行信息披露。</w:t>
      </w:r>
    </w:p>
    <w:p w14:paraId="596C01B3">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2</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成立日/产品起始日：指达到本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约定的成立条件后本理财产品成立的日期。若产品募集期缩短或延长，产品成立日以公告为准。</w:t>
      </w:r>
    </w:p>
    <w:p w14:paraId="527C061F">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申购申请时间段：指本理财产品可以提出申购以及撤销申购的时间段。</w:t>
      </w:r>
    </w:p>
    <w:p w14:paraId="49E1CE4A">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投资周期：指投资者持有理财产品份额所对应的理财资金由产品管理人进行投资运作的一段完整期间。每个投资周期指该投资者持有的对应理财产品份额起始日/申购确认日至该投资者持有的对应理财产品份额赎回确认日的期间。一个投资周期结束后，</w:t>
      </w:r>
      <w:r>
        <w:rPr>
          <w:rFonts w:hint="eastAsia" w:ascii="微软雅黑" w:hAnsi="微软雅黑" w:eastAsia="微软雅黑" w:cs="微软雅黑"/>
          <w:sz w:val="20"/>
          <w:szCs w:val="20"/>
          <w:highlight w:val="none"/>
          <w:lang w:val="en-US" w:eastAsia="zh-CN"/>
        </w:rPr>
        <w:t>投资者持有份额将自动到期，无需投资者发起申请</w:t>
      </w:r>
      <w:r>
        <w:rPr>
          <w:rFonts w:hint="eastAsia" w:ascii="微软雅黑" w:hAnsi="微软雅黑" w:eastAsia="微软雅黑" w:cs="微软雅黑"/>
          <w:sz w:val="20"/>
          <w:szCs w:val="20"/>
          <w:highlight w:val="none"/>
        </w:rPr>
        <w:t>。</w:t>
      </w:r>
    </w:p>
    <w:p w14:paraId="3D37D6E0">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申购/赎回确认日：指产品管理人确认投资者申购/赎回申请有效性的日期。</w:t>
      </w:r>
    </w:p>
    <w:p w14:paraId="4688869B">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存续期：指自本理财产品起始日至理财产品终止日的期间。</w:t>
      </w:r>
    </w:p>
    <w:p w14:paraId="301CDFFA">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17</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产品终止日：本</w:t>
      </w:r>
      <w:r>
        <w:rPr>
          <w:rFonts w:hint="eastAsia" w:ascii="微软雅黑" w:hAnsi="微软雅黑" w:eastAsia="微软雅黑" w:cs="微软雅黑"/>
          <w:sz w:val="20"/>
          <w:szCs w:val="20"/>
          <w:highlight w:val="none"/>
          <w:lang w:val="en-US" w:eastAsia="zh-CN"/>
        </w:rPr>
        <w:t>理财</w:t>
      </w:r>
      <w:r>
        <w:rPr>
          <w:rFonts w:hint="eastAsia" w:ascii="微软雅黑" w:hAnsi="微软雅黑" w:eastAsia="微软雅黑" w:cs="微软雅黑"/>
          <w:sz w:val="20"/>
          <w:szCs w:val="20"/>
          <w:highlight w:val="none"/>
        </w:rPr>
        <w:t>产品为开放式理财产品，不设固定到期日，但广东华润银行有权根据情况终止本产品。</w:t>
      </w:r>
    </w:p>
    <w:p w14:paraId="0E40711D">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18</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认购：指在本理财产品募集期间，投资者按照本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规定购买本理财产品份额的行为。</w:t>
      </w:r>
    </w:p>
    <w:p w14:paraId="1136B1A1">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rPr>
        <w:t>19</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申购</w:t>
      </w:r>
      <w:r>
        <w:rPr>
          <w:rFonts w:hint="eastAsia" w:ascii="微软雅黑" w:hAnsi="微软雅黑" w:eastAsia="微软雅黑" w:cs="微软雅黑"/>
          <w:sz w:val="20"/>
          <w:szCs w:val="20"/>
          <w:highlight w:val="none"/>
          <w:lang w:val="en-US" w:eastAsia="zh-CN"/>
        </w:rPr>
        <w:t>/赎回</w:t>
      </w:r>
      <w:r>
        <w:rPr>
          <w:rFonts w:hint="eastAsia" w:ascii="微软雅黑" w:hAnsi="微软雅黑" w:eastAsia="微软雅黑" w:cs="微软雅黑"/>
          <w:sz w:val="20"/>
          <w:szCs w:val="20"/>
          <w:highlight w:val="none"/>
        </w:rPr>
        <w:t>：指在</w:t>
      </w:r>
      <w:r>
        <w:rPr>
          <w:rFonts w:hint="eastAsia" w:ascii="微软雅黑" w:hAnsi="微软雅黑" w:eastAsia="微软雅黑" w:cs="微软雅黑"/>
          <w:sz w:val="20"/>
          <w:szCs w:val="20"/>
          <w:highlight w:val="none"/>
          <w:lang w:val="en-US" w:eastAsia="zh-CN"/>
        </w:rPr>
        <w:t>本理财产品</w:t>
      </w:r>
      <w:r>
        <w:rPr>
          <w:rFonts w:hint="eastAsia" w:ascii="微软雅黑" w:hAnsi="微软雅黑" w:eastAsia="微软雅黑" w:cs="微软雅黑"/>
          <w:sz w:val="20"/>
          <w:szCs w:val="20"/>
          <w:highlight w:val="none"/>
        </w:rPr>
        <w:t>的开放期内，投资者向</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管理人提出申请对理财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份额进行购买或卖出的行为</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本理财产品在投资者成功认购/申购理财产品份额后，一个投资周期结束后，投资者持有份额将自动到期，无需投资者发起申请。</w:t>
      </w:r>
    </w:p>
    <w:p w14:paraId="7A47C487">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20.巨额赎回：在本理财产品存续期内，若理财产品单个</w:t>
      </w:r>
      <w:r>
        <w:rPr>
          <w:rFonts w:hint="eastAsia" w:ascii="微软雅黑" w:hAnsi="微软雅黑" w:eastAsia="微软雅黑" w:cs="微软雅黑"/>
          <w:sz w:val="20"/>
          <w:szCs w:val="20"/>
          <w:highlight w:val="none"/>
        </w:rPr>
        <w:t>申购/赎回确认日</w:t>
      </w:r>
      <w:r>
        <w:rPr>
          <w:rFonts w:hint="eastAsia" w:ascii="微软雅黑" w:hAnsi="微软雅黑" w:eastAsia="微软雅黑" w:cs="微软雅黑"/>
          <w:sz w:val="20"/>
          <w:szCs w:val="20"/>
          <w:highlight w:val="none"/>
          <w:lang w:val="en-US" w:eastAsia="zh-CN"/>
        </w:rPr>
        <w:t>净赎回申请份额（赎回申请份额总数扣除申购申请份额总数）超过本理财产品上一交易日日终份额的10%时，即为发生巨额赎回。</w:t>
      </w:r>
    </w:p>
    <w:p w14:paraId="31644CB1">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1.产品净值</w:t>
      </w:r>
      <w:r>
        <w:rPr>
          <w:rFonts w:hint="eastAsia" w:ascii="微软雅黑" w:hAnsi="微软雅黑" w:eastAsia="微软雅黑" w:cs="微软雅黑"/>
          <w:sz w:val="20"/>
          <w:szCs w:val="20"/>
          <w:highlight w:val="none"/>
        </w:rPr>
        <w:t>：指理财产品份额净值。</w:t>
      </w:r>
    </w:p>
    <w:p w14:paraId="143CE435">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2.</w:t>
      </w:r>
      <w:r>
        <w:rPr>
          <w:rFonts w:hint="eastAsia" w:ascii="微软雅黑" w:hAnsi="微软雅黑" w:eastAsia="微软雅黑" w:cs="微软雅黑"/>
          <w:sz w:val="20"/>
          <w:szCs w:val="20"/>
          <w:highlight w:val="none"/>
        </w:rPr>
        <w:t>业绩比较基准：</w:t>
      </w:r>
      <w:r>
        <w:rPr>
          <w:rFonts w:hint="eastAsia" w:ascii="微软雅黑" w:hAnsi="微软雅黑" w:eastAsia="微软雅黑" w:cs="微软雅黑"/>
          <w:sz w:val="20"/>
          <w:szCs w:val="20"/>
          <w:highlight w:val="none"/>
          <w:lang w:val="en-US" w:eastAsia="zh-CN"/>
        </w:rPr>
        <w:t>指产品管理人</w:t>
      </w:r>
      <w:r>
        <w:rPr>
          <w:rFonts w:hint="eastAsia" w:ascii="微软雅黑" w:hAnsi="微软雅黑" w:eastAsia="微软雅黑" w:cs="微软雅黑"/>
          <w:sz w:val="20"/>
          <w:szCs w:val="20"/>
          <w:highlight w:val="none"/>
        </w:rPr>
        <w:t>基于产品性质、投资策略、过往经验、未来市场预判等因素，并参照理财产品发行时市场利率水平和投资资产的综合表现对产品设定的投资目标，不代表理财产品的未来表现和实际收益，不构成对理财产品收益的承诺。</w:t>
      </w:r>
    </w:p>
    <w:p w14:paraId="53BD6147">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rPr>
        <w:t>工作日：指除中国法定节假日和公休日外的其他日期。</w:t>
      </w:r>
    </w:p>
    <w:p w14:paraId="7EF85E97">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T日：指某一事件或行为发生的当日，具体以相关条款约定为准。</w:t>
      </w:r>
    </w:p>
    <w:p w14:paraId="4966B888">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到期兑付：理财资金将在</w:t>
      </w:r>
      <w:r>
        <w:rPr>
          <w:rFonts w:hint="eastAsia" w:ascii="微软雅黑" w:hAnsi="微软雅黑" w:eastAsia="微软雅黑" w:cs="微软雅黑"/>
          <w:sz w:val="20"/>
          <w:szCs w:val="20"/>
          <w:highlight w:val="none"/>
          <w:lang w:val="en-US" w:eastAsia="zh-CN"/>
        </w:rPr>
        <w:t>终止日后3</w:t>
      </w:r>
      <w:r>
        <w:rPr>
          <w:rFonts w:hint="eastAsia" w:ascii="微软雅黑" w:hAnsi="微软雅黑" w:eastAsia="微软雅黑" w:cs="微软雅黑"/>
          <w:sz w:val="20"/>
          <w:szCs w:val="20"/>
          <w:highlight w:val="none"/>
        </w:rPr>
        <w:t>个工作日内自动到账。</w:t>
      </w:r>
    </w:p>
    <w:p w14:paraId="0920CE68">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摆动定价：指当开放式公募理财产品（现金管理类理财产品除外）遭遇大额申购或赎回时，通过调整理财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份额净值的方式，将理财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调整投资组合的市场冲击成本分配给实际申购、赎回的投资者，从而减少对存量理财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份额持有人利益的不利影响，确保投资者的合法权益不受损害并得到公平对待。</w:t>
      </w:r>
    </w:p>
    <w:p w14:paraId="4648EE14">
      <w:pPr>
        <w:numPr>
          <w:ilvl w:val="-1"/>
          <w:numId w:val="0"/>
        </w:num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27.</w:t>
      </w:r>
      <w:r>
        <w:rPr>
          <w:rFonts w:hint="eastAsia" w:ascii="微软雅黑" w:hAnsi="微软雅黑" w:eastAsia="微软雅黑" w:cs="微软雅黑"/>
          <w:sz w:val="20"/>
          <w:szCs w:val="20"/>
          <w:highlight w:val="none"/>
        </w:rPr>
        <w:t>清算期：理财产品到期日或提前终止日至理财资金返还</w:t>
      </w:r>
      <w:r>
        <w:rPr>
          <w:rFonts w:hint="eastAsia" w:ascii="微软雅黑" w:hAnsi="微软雅黑" w:eastAsia="微软雅黑" w:cs="微软雅黑"/>
          <w:sz w:val="20"/>
          <w:szCs w:val="20"/>
          <w:highlight w:val="none"/>
          <w:lang w:eastAsia="zh-CN"/>
        </w:rPr>
        <w:t>到账</w:t>
      </w:r>
      <w:r>
        <w:rPr>
          <w:rFonts w:hint="eastAsia" w:ascii="微软雅黑" w:hAnsi="微软雅黑" w:eastAsia="微软雅黑" w:cs="微软雅黑"/>
          <w:sz w:val="20"/>
          <w:szCs w:val="20"/>
          <w:highlight w:val="none"/>
        </w:rPr>
        <w:t>日为理财产品清算期，清算期内资金不计付利息。</w:t>
      </w:r>
    </w:p>
    <w:p w14:paraId="74ABF212">
      <w:pPr>
        <w:numPr>
          <w:ilvl w:val="-1"/>
          <w:numId w:val="0"/>
        </w:num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28.理财产品合同：指《产品说明书》、《风险揭示书》和《销售协议书》的总称。</w:t>
      </w:r>
    </w:p>
    <w:p w14:paraId="4940D55C">
      <w:pPr>
        <w:numPr>
          <w:ilvl w:val="-1"/>
          <w:numId w:val="0"/>
        </w:num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29.销售文件：指《产品说明书》、《风险揭示书》、《销售协议书》和《投资者权益须知》。</w:t>
      </w:r>
    </w:p>
    <w:p w14:paraId="27B3C1C3">
      <w:pPr>
        <w:numPr>
          <w:ilvl w:val="-1"/>
          <w:numId w:val="0"/>
        </w:numPr>
        <w:spacing w:beforeLines="0" w:afterLines="0" w:line="320" w:lineRule="exact"/>
        <w:rPr>
          <w:rFonts w:hint="eastAsia" w:ascii="微软雅黑" w:hAnsi="微软雅黑" w:eastAsia="微软雅黑" w:cs="微软雅黑"/>
          <w:position w:val="0"/>
          <w:sz w:val="20"/>
          <w:szCs w:val="20"/>
          <w:highlight w:val="none"/>
          <w:lang w:val="en-US" w:eastAsia="zh-CN" w:bidi="ar"/>
        </w:rPr>
      </w:pPr>
      <w:r>
        <w:rPr>
          <w:rFonts w:hint="eastAsia" w:ascii="微软雅黑" w:hAnsi="微软雅黑" w:eastAsia="微软雅黑" w:cs="微软雅黑"/>
          <w:sz w:val="20"/>
          <w:szCs w:val="20"/>
          <w:highlight w:val="none"/>
          <w:lang w:val="en-US" w:eastAsia="zh-CN"/>
        </w:rPr>
        <w:t>30.理财产品/产品：指广东华润银行润悦1号第1142期理财产品。</w:t>
      </w:r>
      <w:r>
        <w:rPr>
          <w:rFonts w:hint="eastAsia" w:ascii="微软雅黑" w:hAnsi="微软雅黑" w:eastAsia="微软雅黑" w:cs="微软雅黑"/>
          <w:b w:val="0"/>
          <w:bCs w:val="0"/>
          <w:kern w:val="2"/>
          <w:sz w:val="20"/>
          <w:szCs w:val="20"/>
          <w:highlight w:val="none"/>
          <w:lang w:val="en-US" w:eastAsia="zh-CN" w:bidi="ar"/>
        </w:rPr>
      </w:r>
      <w:r>
        <w:rPr>
          <w:rFonts w:hint="eastAsia" w:ascii="微软雅黑" w:hAnsi="微软雅黑" w:eastAsia="微软雅黑" w:cs="微软雅黑"/>
          <w:spacing w:val="0"/>
          <w:position w:val="0"/>
          <w:sz w:val="20"/>
          <w:szCs w:val="20"/>
          <w:highlight w:val="none"/>
          <w:lang w:val="en-US" w:eastAsia="zh-CN" w:bidi="ar"/>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position w:val="0"/>
          <w:sz w:val="20"/>
          <w:szCs w:val="20"/>
          <w:highlight w:val="none"/>
          <w:lang w:val="en-US" w:eastAsia="zh-CN" w:bidi="ar"/>
        </w:rPr>
      </w:r>
    </w:p>
    <w:p w14:paraId="4799D182">
      <w:pPr>
        <w:spacing w:before="157" w:beforeLines="50" w:afterLines="0" w:line="320" w:lineRule="exact"/>
        <w:ind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二</w:t>
      </w:r>
      <w:r>
        <w:rPr>
          <w:rFonts w:hint="eastAsia" w:ascii="微软雅黑" w:hAnsi="微软雅黑" w:eastAsia="微软雅黑" w:cs="微软雅黑"/>
          <w:b/>
          <w:sz w:val="20"/>
          <w:szCs w:val="20"/>
          <w:highlight w:val="none"/>
        </w:rPr>
        <w:t>、产品概述</w:t>
      </w:r>
    </w:p>
    <w:tbl>
      <w:tblPr>
        <w:tblStyle w:val="5"/>
        <w:tblW w:w="83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014"/>
        <w:gridCol w:w="6290"/>
      </w:tblGrid>
      <w:tr w14:paraId="77CAFB60">
        <w:trPr>
          <w:jc w:val="center"/>
        </w:trPr>
        <w:tc>
          <w:tcPr>
            <w:tcW w:w="2014" w:type="dxa"/>
            <w:noWrap w:val="0"/>
            <w:vAlign w:val="top"/>
          </w:tcPr>
          <w:p w14:paraId="542E2EA2">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产品名称</w:t>
            </w:r>
          </w:p>
        </w:tc>
        <w:tc>
          <w:tcPr>
            <w:tcW w:w="6290" w:type="dxa"/>
            <w:noWrap w:val="0"/>
            <w:vAlign w:val="top"/>
          </w:tcPr>
          <w:p w14:paraId="098BB91C">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lang w:eastAsia="zh-CN"/>
              </w:rPr>
              <w:t>广东华润银行润悦1号第1142期理财产品</w:t>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p>
        </w:tc>
      </w:tr>
      <w:tr w14:paraId="40BE073B">
        <w:trPr>
          <w:jc w:val="center"/>
        </w:trPr>
        <w:tc>
          <w:tcPr>
            <w:tcW w:w="2014" w:type="dxa"/>
            <w:noWrap w:val="0"/>
            <w:vAlign w:val="top"/>
          </w:tcPr>
          <w:p w14:paraId="7DD0E59C">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产品简称</w:t>
            </w:r>
          </w:p>
        </w:tc>
        <w:tc>
          <w:tcPr>
            <w:tcW w:w="6290" w:type="dxa"/>
            <w:noWrap w:val="0"/>
            <w:vAlign w:val="top"/>
          </w:tcPr>
          <w:p w14:paraId="304E07E1">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润悦1号第1142期</w:t>
            </w:r>
            <w:r>
              <w:rPr>
                <w:rFonts w:hint="eastAsia" w:ascii="微软雅黑" w:hAnsi="微软雅黑" w:eastAsia="微软雅黑" w:cs="微软雅黑"/>
                <w:sz w:val="20"/>
                <w:szCs w:val="20"/>
                <w:highlight w:val="none"/>
                <w:lang w:val="en-US" w:eastAsia="zh-CN"/>
              </w:rPr>
            </w:r>
          </w:p>
        </w:tc>
      </w:tr>
      <w:tr w14:paraId="6481506C">
        <w:trPr>
          <w:jc w:val="center"/>
        </w:trPr>
        <w:tc>
          <w:tcPr>
            <w:tcW w:w="2014" w:type="dxa"/>
            <w:noWrap w:val="0"/>
            <w:vAlign w:val="top"/>
          </w:tcPr>
          <w:p w14:paraId="0CB79355">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产品代码</w:t>
            </w:r>
          </w:p>
        </w:tc>
        <w:tc>
          <w:tcPr>
            <w:tcW w:w="6290" w:type="dxa"/>
            <w:noWrap w:val="0"/>
            <w:vAlign w:val="top"/>
          </w:tcPr>
          <w:p w14:paraId="7AB32453">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RY11142</w:t>
            </w:r>
          </w:p>
        </w:tc>
      </w:tr>
      <w:tr w14:paraId="2A2BEA7C">
        <w:trPr>
          <w:jc w:val="center"/>
        </w:trPr>
        <w:tc>
          <w:tcPr>
            <w:tcW w:w="2014" w:type="dxa"/>
            <w:noWrap w:val="0"/>
            <w:vAlign w:val="center"/>
          </w:tcPr>
          <w:p w14:paraId="4A197519">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理财信息登记系统登记编码</w:t>
            </w:r>
          </w:p>
        </w:tc>
        <w:tc>
          <w:tcPr>
            <w:tcW w:w="6290" w:type="dxa"/>
            <w:noWrap w:val="0"/>
            <w:vAlign w:val="center"/>
          </w:tcPr>
          <w:p w14:paraId="0B3FC983">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C1082926000178</w:t>
            </w:r>
          </w:p>
          <w:p w14:paraId="6BBB6332">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客户可根据该登记编码在“中国理财网（www.chinawealth.com.cn）”查询该产品信息。</w:t>
            </w:r>
          </w:p>
        </w:tc>
      </w:tr>
      <w:tr w14:paraId="4667B212">
        <w:trPr>
          <w:jc w:val="center"/>
        </w:trPr>
        <w:tc>
          <w:tcPr>
            <w:tcW w:w="2014" w:type="dxa"/>
            <w:noWrap w:val="0"/>
            <w:vAlign w:val="top"/>
          </w:tcPr>
          <w:p w14:paraId="5FCF5F6F">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产品类型</w:t>
            </w:r>
          </w:p>
        </w:tc>
        <w:tc>
          <w:tcPr>
            <w:tcW w:w="6290" w:type="dxa"/>
            <w:noWrap w:val="0"/>
            <w:vAlign w:val="top"/>
          </w:tcPr>
          <w:p w14:paraId="1194E81E">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封闭式、固定收益类净值型产品</w:t>
            </w:r>
          </w:p>
        </w:tc>
      </w:tr>
      <w:tr w14:paraId="7CB02723">
        <w:trPr>
          <w:jc w:val="center"/>
        </w:trPr>
        <w:tc>
          <w:tcPr>
            <w:tcW w:w="2014" w:type="dxa"/>
            <w:noWrap w:val="0"/>
            <w:vAlign w:val="center"/>
          </w:tcPr>
          <w:p w14:paraId="211FC46D">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收益类型</w:t>
            </w:r>
          </w:p>
        </w:tc>
        <w:tc>
          <w:tcPr>
            <w:tcW w:w="6290" w:type="dxa"/>
            <w:noWrap w:val="0"/>
            <w:vAlign w:val="top"/>
          </w:tcPr>
          <w:p w14:paraId="7C392013">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非保本浮动收益型</w:t>
            </w:r>
          </w:p>
        </w:tc>
      </w:tr>
      <w:tr w14:paraId="519E9F81">
        <w:trPr>
          <w:jc w:val="center"/>
        </w:trPr>
        <w:tc>
          <w:tcPr>
            <w:tcW w:w="2014" w:type="dxa"/>
            <w:noWrap w:val="0"/>
            <w:vAlign w:val="center"/>
          </w:tcPr>
          <w:p w14:paraId="0202C98C">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发行方式</w:t>
            </w:r>
          </w:p>
        </w:tc>
        <w:tc>
          <w:tcPr>
            <w:tcW w:w="6290" w:type="dxa"/>
            <w:noWrap w:val="0"/>
            <w:vAlign w:val="top"/>
          </w:tcPr>
          <w:p w14:paraId="3432698C">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公募</w:t>
            </w:r>
          </w:p>
        </w:tc>
      </w:tr>
      <w:tr w14:paraId="748FF94F">
        <w:trPr>
          <w:jc w:val="center"/>
        </w:trPr>
        <w:tc>
          <w:tcPr>
            <w:tcW w:w="2014" w:type="dxa"/>
            <w:noWrap w:val="0"/>
            <w:vAlign w:val="center"/>
          </w:tcPr>
          <w:p w14:paraId="78693DCC">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投资及收益币种</w:t>
            </w:r>
          </w:p>
        </w:tc>
        <w:tc>
          <w:tcPr>
            <w:tcW w:w="6290" w:type="dxa"/>
            <w:noWrap w:val="0"/>
            <w:vAlign w:val="top"/>
          </w:tcPr>
          <w:p w14:paraId="5690EA44">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人民币</w:t>
            </w:r>
          </w:p>
        </w:tc>
      </w:tr>
      <w:tr w14:paraId="75AD2BED">
        <w:trPr>
          <w:jc w:val="center"/>
        </w:trPr>
        <w:tc>
          <w:tcPr>
            <w:tcW w:w="2014" w:type="dxa"/>
            <w:noWrap w:val="0"/>
            <w:vAlign w:val="center"/>
          </w:tcPr>
          <w:p w14:paraId="18F6E83B">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产品风险评级</w:t>
            </w:r>
          </w:p>
        </w:tc>
        <w:tc>
          <w:tcPr>
            <w:tcW w:w="6290" w:type="dxa"/>
            <w:noWrap w:val="0"/>
            <w:vAlign w:val="top"/>
          </w:tcPr>
          <w:p w14:paraId="03526864">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R2级（本风险评级为</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银行内部测评结果，仅供客户参考）</w:t>
            </w:r>
          </w:p>
        </w:tc>
      </w:tr>
      <w:tr w14:paraId="6144B482">
        <w:trPr>
          <w:jc w:val="center"/>
        </w:trPr>
        <w:tc>
          <w:tcPr>
            <w:tcW w:w="2014" w:type="dxa"/>
            <w:noWrap w:val="0"/>
            <w:vAlign w:val="center"/>
          </w:tcPr>
          <w:p w14:paraId="1C5EC3C0">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适合客户</w:t>
            </w:r>
          </w:p>
        </w:tc>
        <w:tc>
          <w:tcPr>
            <w:tcW w:w="6290" w:type="dxa"/>
            <w:noWrap w:val="0"/>
            <w:vAlign w:val="top"/>
          </w:tcPr>
          <w:p w14:paraId="5E57A2D6">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经</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银行（含</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银行认可的其他销售服务机构）评估，评定为稳健型、平衡型、成长型、进取型的个人</w:t>
            </w:r>
            <w:r>
              <w:rPr>
                <w:rFonts w:hint="eastAsia" w:ascii="微软雅黑" w:hAnsi="微软雅黑" w:eastAsia="微软雅黑" w:cs="微软雅黑"/>
                <w:sz w:val="20"/>
                <w:szCs w:val="20"/>
                <w:highlight w:val="none"/>
                <w:lang w:val="en-US" w:eastAsia="zh-CN"/>
              </w:rPr>
              <w:t>和机构</w:t>
            </w:r>
            <w:r>
              <w:rPr>
                <w:rFonts w:hint="eastAsia" w:ascii="微软雅黑" w:hAnsi="微软雅黑" w:eastAsia="微软雅黑" w:cs="微软雅黑"/>
                <w:sz w:val="20"/>
                <w:szCs w:val="20"/>
                <w:highlight w:val="none"/>
              </w:rPr>
              <w:t>客户。</w:t>
            </w:r>
          </w:p>
        </w:tc>
      </w:tr>
      <w:tr w14:paraId="1A569EB4">
        <w:trPr>
          <w:trHeight w:val="90" w:hRule="atLeast"/>
          <w:jc w:val="center"/>
        </w:trPr>
        <w:tc>
          <w:tcPr>
            <w:tcW w:w="2014" w:type="dxa"/>
            <w:noWrap w:val="0"/>
            <w:vAlign w:val="center"/>
          </w:tcPr>
          <w:p w14:paraId="2B022C05">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销售渠道</w:t>
            </w:r>
          </w:p>
        </w:tc>
        <w:tc>
          <w:tcPr>
            <w:tcW w:w="6290" w:type="dxa"/>
            <w:noWrap w:val="0"/>
            <w:vAlign w:val="top"/>
          </w:tcPr>
          <w:p w14:paraId="1D2C5E29">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bCs/>
                <w:sz w:val="20"/>
                <w:szCs w:val="20"/>
                <w:highlight w:val="none"/>
                <w:lang w:eastAsia="zh-CN"/>
              </w:rPr>
              <w:t>广东华润</w:t>
            </w:r>
            <w:r>
              <w:rPr>
                <w:rFonts w:hint="eastAsia" w:ascii="微软雅黑" w:hAnsi="微软雅黑" w:eastAsia="微软雅黑" w:cs="微软雅黑"/>
                <w:bCs/>
                <w:sz w:val="20"/>
                <w:szCs w:val="20"/>
                <w:highlight w:val="none"/>
              </w:rPr>
              <w:t>银行各营业网点或电子销售渠道或经</w:t>
            </w:r>
            <w:r>
              <w:rPr>
                <w:rFonts w:hint="eastAsia" w:ascii="微软雅黑" w:hAnsi="微软雅黑" w:eastAsia="微软雅黑" w:cs="微软雅黑"/>
                <w:bCs/>
                <w:sz w:val="20"/>
                <w:szCs w:val="20"/>
                <w:highlight w:val="none"/>
                <w:lang w:eastAsia="zh-CN"/>
              </w:rPr>
              <w:t>广东华润</w:t>
            </w:r>
            <w:r>
              <w:rPr>
                <w:rFonts w:hint="eastAsia" w:ascii="微软雅黑" w:hAnsi="微软雅黑" w:eastAsia="微软雅黑" w:cs="微软雅黑"/>
                <w:bCs/>
                <w:sz w:val="20"/>
                <w:szCs w:val="20"/>
                <w:highlight w:val="none"/>
              </w:rPr>
              <w:t>银行认可的其他销售服务机构。</w:t>
            </w:r>
          </w:p>
        </w:tc>
      </w:tr>
      <w:tr w14:paraId="0D5C1FAC">
        <w:trPr>
          <w:jc w:val="center"/>
        </w:trPr>
        <w:tc>
          <w:tcPr>
            <w:tcW w:w="2014" w:type="dxa"/>
            <w:noWrap w:val="0"/>
            <w:vAlign w:val="center"/>
          </w:tcPr>
          <w:p w14:paraId="173C4C36">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产品规模</w:t>
            </w:r>
          </w:p>
        </w:tc>
        <w:tc>
          <w:tcPr>
            <w:tcW w:w="6290" w:type="dxa"/>
            <w:noWrap w:val="0"/>
            <w:vAlign w:val="top"/>
          </w:tcPr>
          <w:p w14:paraId="704AA63C">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募集规模不超过2亿元。</w:t>
            </w:r>
            <w:r>
              <w:rPr>
                <w:rFonts w:hint="eastAsia" w:ascii="微软雅黑" w:hAnsi="微软雅黑" w:eastAsia="微软雅黑" w:cs="微软雅黑"/>
                <w:sz w:val="20"/>
                <w:szCs w:val="20"/>
                <w:highlight w:val="none"/>
                <w:lang w:val="en-US" w:eastAsia="zh-CN"/>
              </w:rPr>
            </w:r>
            <w:bookmarkStart w:id="1" w:name="_GoBack"/>
            <w:bookmarkEnd w:id="1"/>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p>
          <w:p w14:paraId="05CADDB8">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银行有权根据实际需要对产品规模进行调整，产品最终募集规模以银行实际募集的金额为准。</w:t>
            </w:r>
          </w:p>
        </w:tc>
      </w:tr>
      <w:tr w14:paraId="01608185">
        <w:trPr>
          <w:jc w:val="center"/>
        </w:trPr>
        <w:tc>
          <w:tcPr>
            <w:tcW w:w="2014" w:type="dxa"/>
            <w:noWrap w:val="0"/>
            <w:vAlign w:val="center"/>
          </w:tcPr>
          <w:p w14:paraId="6BE55CDC">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成立日</w:t>
            </w:r>
          </w:p>
        </w:tc>
        <w:tc>
          <w:tcPr>
            <w:tcW w:w="6290" w:type="dxa"/>
            <w:noWrap w:val="0"/>
            <w:vAlign w:val="top"/>
          </w:tcPr>
          <w:p w14:paraId="5C7BF1A9">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u w:val="single"/>
              </w:rPr>
              <w:t>2026年11月11日</w:t>
            </w:r>
            <w:r>
              <w:rPr>
                <w:rFonts w:hint="eastAsia" w:ascii="微软雅黑" w:hAnsi="微软雅黑" w:eastAsia="微软雅黑" w:cs="微软雅黑"/>
                <w:sz w:val="20"/>
                <w:szCs w:val="20"/>
                <w:highlight w:val="none"/>
                <w:u w:val="single"/>
              </w:rPr>
            </w:r>
            <w:r>
              <w:rPr>
                <w:rFonts w:hint="eastAsia" w:ascii="微软雅黑" w:hAnsi="微软雅黑" w:eastAsia="微软雅黑" w:cs="微软雅黑"/>
                <w:sz w:val="20"/>
                <w:szCs w:val="20"/>
                <w:highlight w:val="none"/>
                <w:u w:val="single"/>
                <w:lang w:val="en-US" w:eastAsia="zh-CN"/>
              </w:rPr>
            </w:r>
            <w:r>
              <w:rPr>
                <w:rFonts w:hint="eastAsia" w:ascii="微软雅黑" w:hAnsi="微软雅黑" w:eastAsia="微软雅黑" w:cs="微软雅黑"/>
                <w:sz w:val="20"/>
                <w:szCs w:val="20"/>
                <w:highlight w:val="none"/>
                <w:u w:val="single"/>
              </w:rPr>
            </w:r>
            <w:r>
              <w:rPr>
                <w:rFonts w:hint="eastAsia" w:ascii="微软雅黑" w:hAnsi="微软雅黑" w:eastAsia="微软雅黑" w:cs="微软雅黑"/>
                <w:sz w:val="20"/>
                <w:szCs w:val="20"/>
                <w:highlight w:val="none"/>
                <w:u w:val="single"/>
                <w:lang w:val="en-US" w:eastAsia="zh-CN"/>
              </w:rPr>
            </w:r>
            <w:r>
              <w:rPr>
                <w:rFonts w:hint="eastAsia" w:ascii="微软雅黑" w:hAnsi="微软雅黑" w:eastAsia="微软雅黑" w:cs="微软雅黑"/>
                <w:sz w:val="20"/>
                <w:szCs w:val="20"/>
                <w:highlight w:val="none"/>
                <w:u w:val="single"/>
              </w:rPr>
            </w:r>
          </w:p>
        </w:tc>
      </w:tr>
      <w:tr w14:paraId="5D3AFC11">
        <w:trPr>
          <w:jc w:val="center"/>
        </w:trPr>
        <w:tc>
          <w:tcPr>
            <w:tcW w:w="2014" w:type="dxa"/>
            <w:noWrap w:val="0"/>
            <w:vAlign w:val="center"/>
          </w:tcPr>
          <w:p w14:paraId="075B65C1">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到期日</w:t>
            </w:r>
          </w:p>
        </w:tc>
        <w:tc>
          <w:tcPr>
            <w:tcW w:w="6290" w:type="dxa"/>
            <w:noWrap w:val="0"/>
            <w:vAlign w:val="top"/>
          </w:tcPr>
          <w:p w14:paraId="33D7D688">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u w:val="single"/>
              </w:rPr>
              <w:t>2027年5月12日</w:t>
            </w:r>
            <w:r>
              <w:rPr>
                <w:rFonts w:hint="eastAsia" w:ascii="微软雅黑" w:hAnsi="微软雅黑" w:eastAsia="微软雅黑" w:cs="微软雅黑"/>
                <w:sz w:val="20"/>
                <w:szCs w:val="20"/>
                <w:highlight w:val="none"/>
              </w:rPr>
              <w:t>（以产品实际到期日为准）</w:t>
            </w:r>
            <w:r>
              <w:rPr>
                <w:rFonts w:hint="eastAsia" w:ascii="微软雅黑" w:hAnsi="微软雅黑" w:eastAsia="微软雅黑" w:cs="微软雅黑"/>
                <w:sz w:val="20"/>
                <w:szCs w:val="20"/>
                <w:highlight w:val="none"/>
                <w:u w:val="single"/>
                <w:lang w:val="en-US" w:eastAsia="zh-CN"/>
              </w:rPr>
            </w:r>
            <w:r>
              <w:rPr>
                <w:rFonts w:hint="eastAsia" w:ascii="微软雅黑" w:hAnsi="微软雅黑" w:eastAsia="微软雅黑" w:cs="微软雅黑"/>
                <w:sz w:val="20"/>
                <w:szCs w:val="20"/>
                <w:highlight w:val="none"/>
                <w:u w:val="single"/>
              </w:rPr>
            </w:r>
            <w:r>
              <w:rPr>
                <w:rFonts w:hint="eastAsia" w:ascii="微软雅黑" w:hAnsi="微软雅黑" w:eastAsia="微软雅黑" w:cs="微软雅黑"/>
                <w:sz w:val="20"/>
                <w:szCs w:val="20"/>
                <w:highlight w:val="none"/>
                <w:u w:val="single"/>
                <w:lang w:val="en-US" w:eastAsia="zh-CN"/>
              </w:rPr>
            </w:r>
            <w:r>
              <w:rPr>
                <w:rFonts w:hint="eastAsia" w:ascii="微软雅黑" w:hAnsi="微软雅黑" w:eastAsia="微软雅黑" w:cs="微软雅黑"/>
                <w:sz w:val="20"/>
                <w:szCs w:val="20"/>
                <w:highlight w:val="none"/>
              </w:rPr>
            </w:r>
          </w:p>
        </w:tc>
      </w:tr>
      <w:tr w14:paraId="622B16B7">
        <w:trPr>
          <w:jc w:val="center"/>
        </w:trPr>
        <w:tc>
          <w:tcPr>
            <w:tcW w:w="2014" w:type="dxa"/>
            <w:noWrap w:val="0"/>
            <w:vAlign w:val="center"/>
          </w:tcPr>
          <w:p w14:paraId="403E4C36">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期限</w:t>
            </w:r>
          </w:p>
        </w:tc>
        <w:tc>
          <w:tcPr>
            <w:tcW w:w="6290" w:type="dxa"/>
            <w:noWrap w:val="0"/>
            <w:vAlign w:val="top"/>
          </w:tcPr>
          <w:p w14:paraId="35BBCE34">
            <w:pPr>
              <w:spacing w:beforeLines="0" w:afterLines="0" w:line="320" w:lineRule="exact"/>
              <w:ind w:firstLine="0" w:firstLineChars="0"/>
              <w:rPr>
                <w:rFonts w:hint="eastAsia" w:ascii="微软雅黑" w:hAnsi="微软雅黑" w:eastAsia="微软雅黑" w:cs="微软雅黑"/>
                <w:sz w:val="20"/>
                <w:szCs w:val="20"/>
                <w:highlight w:val="none"/>
                <w:u w:val="single"/>
              </w:rPr>
            </w:pPr>
            <w:r>
              <w:rPr>
                <w:rFonts w:hint="eastAsia" w:ascii="微软雅黑" w:hAnsi="微软雅黑" w:eastAsia="微软雅黑" w:cs="微软雅黑"/>
                <w:sz w:val="20"/>
                <w:szCs w:val="20"/>
                <w:highlight w:val="none"/>
                <w:lang w:val="en-US" w:eastAsia="zh-CN"/>
                <w:u w:val="single"/>
              </w:rPr>
              <w:t>182</w:t>
            </w:r>
            <w:r>
              <w:rPr>
                <w:rFonts w:hint="eastAsia" w:ascii="微软雅黑" w:hAnsi="微软雅黑" w:eastAsia="微软雅黑" w:cs="微软雅黑"/>
                <w:sz w:val="20"/>
                <w:szCs w:val="20"/>
                <w:highlight w:val="none"/>
              </w:rPr>
              <w:t>天。实际产品期限受制于银行提前终止及产品到期条款，广东华润银行可根据情况进行调整。</w:t>
            </w:r>
            <w:r>
              <w:rPr>
                <w:rFonts w:hint="eastAsia" w:ascii="微软雅黑" w:hAnsi="微软雅黑" w:eastAsia="微软雅黑" w:cs="微软雅黑"/>
                <w:sz w:val="20"/>
                <w:szCs w:val="20"/>
                <w:highlight w:val="none"/>
                <w:lang w:eastAsia="zh-CN"/>
              </w:rPr>
            </w:r>
            <w:r>
              <w:rPr>
                <w:rFonts w:hint="eastAsia" w:ascii="微软雅黑" w:hAnsi="微软雅黑" w:eastAsia="微软雅黑" w:cs="微软雅黑"/>
                <w:sz w:val="20"/>
                <w:szCs w:val="20"/>
                <w:highlight w:val="none"/>
              </w:rPr>
            </w:r>
          </w:p>
        </w:tc>
      </w:tr>
      <w:tr w14:paraId="055C800C">
        <w:trPr>
          <w:jc w:val="center"/>
        </w:trPr>
        <w:tc>
          <w:tcPr>
            <w:tcW w:w="2014" w:type="dxa"/>
            <w:noWrap w:val="0"/>
            <w:vAlign w:val="center"/>
          </w:tcPr>
          <w:p w14:paraId="7959F3DA">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存续期</w:t>
            </w:r>
          </w:p>
        </w:tc>
        <w:tc>
          <w:tcPr>
            <w:tcW w:w="6290" w:type="dxa"/>
            <w:noWrap w:val="0"/>
            <w:vAlign w:val="top"/>
          </w:tcPr>
          <w:p w14:paraId="389CA39A">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产品成立日（含）至产品到期日（不含）</w:t>
            </w:r>
          </w:p>
        </w:tc>
      </w:tr>
      <w:tr w14:paraId="351A3C8C">
        <w:trPr>
          <w:jc w:val="center"/>
        </w:trPr>
        <w:tc>
          <w:tcPr>
            <w:tcW w:w="2014" w:type="dxa"/>
            <w:noWrap w:val="0"/>
            <w:vAlign w:val="center"/>
          </w:tcPr>
          <w:p w14:paraId="6854AE51">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认购起点金额</w:t>
            </w:r>
          </w:p>
        </w:tc>
        <w:tc>
          <w:tcPr>
            <w:tcW w:w="6290" w:type="dxa"/>
            <w:noWrap w:val="0"/>
            <w:vAlign w:val="top"/>
          </w:tcPr>
          <w:p w14:paraId="7B3CEC67">
            <w:pPr>
              <w:spacing w:beforeLines="0" w:afterLines="0" w:line="320" w:lineRule="exact"/>
              <w:rPr>
                <w:rFonts w:hint="eastAsia" w:ascii="微软雅黑" w:hAnsi="微软雅黑" w:eastAsia="微软雅黑" w:cs="微软雅黑"/>
                <w:sz w:val="20"/>
                <w:szCs w:val="20"/>
                <w:highlight w:val="none"/>
                <w:u w:val="single"/>
                <w:lang w:val="en-US" w:eastAsia="zh-CN"/>
              </w:rPr>
            </w:pPr>
            <w:r>
              <w:rPr>
                <w:rFonts w:hint="eastAsia" w:ascii="微软雅黑" w:hAnsi="微软雅黑" w:eastAsia="微软雅黑" w:cs="微软雅黑"/>
                <w:sz w:val="20"/>
                <w:szCs w:val="20"/>
                <w:highlight w:val="none"/>
              </w:rPr>
              <w:t>认购起点金额为5万元；超过认购起点部分，以1000元递增。</w:t>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p>
        </w:tc>
      </w:tr>
      <w:tr w14:paraId="0D8EFCEE">
        <w:trPr>
          <w:jc w:val="center"/>
        </w:trPr>
        <w:tc>
          <w:tcPr>
            <w:tcW w:w="2014" w:type="dxa"/>
            <w:noWrap w:val="0"/>
            <w:vAlign w:val="center"/>
          </w:tcPr>
          <w:p w14:paraId="0B667E76">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单笔认购上限</w:t>
            </w:r>
          </w:p>
        </w:tc>
        <w:tc>
          <w:tcPr>
            <w:tcW w:w="6290" w:type="dxa"/>
            <w:noWrap w:val="0"/>
            <w:vAlign w:val="top"/>
          </w:tcPr>
          <w:p w14:paraId="700373DD">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银行有权根据产品投资情况对单笔认购上限进行约定及调整。</w:t>
            </w:r>
          </w:p>
        </w:tc>
      </w:tr>
      <w:tr w14:paraId="5C7967F7">
        <w:trPr>
          <w:jc w:val="center"/>
        </w:trPr>
        <w:tc>
          <w:tcPr>
            <w:tcW w:w="2014" w:type="dxa"/>
            <w:noWrap w:val="0"/>
            <w:vAlign w:val="center"/>
          </w:tcPr>
          <w:p w14:paraId="23C30A81">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认购期</w:t>
            </w:r>
          </w:p>
          <w:p w14:paraId="79DE938B">
            <w:pPr>
              <w:spacing w:beforeLines="0" w:afterLines="0" w:line="320" w:lineRule="exact"/>
              <w:rPr>
                <w:rFonts w:hint="eastAsia" w:ascii="微软雅黑" w:hAnsi="微软雅黑" w:eastAsia="微软雅黑" w:cs="微软雅黑"/>
                <w:b/>
                <w:sz w:val="20"/>
                <w:szCs w:val="20"/>
                <w:highlight w:val="none"/>
              </w:rPr>
            </w:pPr>
          </w:p>
        </w:tc>
        <w:tc>
          <w:tcPr>
            <w:tcW w:w="6290" w:type="dxa"/>
            <w:noWrap w:val="0"/>
            <w:vAlign w:val="top"/>
          </w:tcPr>
          <w:p w14:paraId="41886E61">
            <w:pPr>
              <w:spacing w:beforeLines="0" w:afterLines="0" w:line="320" w:lineRule="exact"/>
              <w:ind w:firstLine="0" w:firstLineChars="0"/>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lang w:val="en-US" w:eastAsia="zh-CN"/>
              </w:rPr>
              <w:t>2026年11月4日9:00至2026年11月10日17:00，广东华润银行有权提前结束认购并调整相关日期。</w:t>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eastAsia="zh-CN"/>
              </w:rPr>
            </w:r>
            <w:r>
              <w:rPr>
                <w:rFonts w:hint="eastAsia" w:ascii="微软雅黑" w:hAnsi="微软雅黑" w:eastAsia="微软雅黑" w:cs="微软雅黑"/>
                <w:sz w:val="20"/>
                <w:szCs w:val="20"/>
                <w:highlight w:val="none"/>
              </w:rPr>
            </w:r>
          </w:p>
        </w:tc>
      </w:tr>
      <w:tr w14:paraId="01396DD4">
        <w:trPr>
          <w:jc w:val="center"/>
        </w:trPr>
        <w:tc>
          <w:tcPr>
            <w:tcW w:w="2014" w:type="dxa"/>
            <w:noWrap w:val="0"/>
            <w:vAlign w:val="center"/>
          </w:tcPr>
          <w:p w14:paraId="22FAE174">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资金到账日</w:t>
            </w:r>
          </w:p>
        </w:tc>
        <w:tc>
          <w:tcPr>
            <w:tcW w:w="6290" w:type="dxa"/>
            <w:noWrap w:val="0"/>
            <w:vAlign w:val="top"/>
          </w:tcPr>
          <w:p w14:paraId="7D252577">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理财产品到期或提前终止日后3个工作日内</w:t>
            </w:r>
          </w:p>
        </w:tc>
      </w:tr>
      <w:tr w14:paraId="7EFB88C2">
        <w:trPr>
          <w:jc w:val="center"/>
        </w:trPr>
        <w:tc>
          <w:tcPr>
            <w:tcW w:w="2014" w:type="dxa"/>
            <w:noWrap w:val="0"/>
            <w:vAlign w:val="center"/>
          </w:tcPr>
          <w:p w14:paraId="06C552AD">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清算期</w:t>
            </w:r>
          </w:p>
        </w:tc>
        <w:tc>
          <w:tcPr>
            <w:tcW w:w="6290" w:type="dxa"/>
            <w:noWrap w:val="0"/>
            <w:vAlign w:val="top"/>
          </w:tcPr>
          <w:p w14:paraId="19F172C6">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理财产品到期日（含提前终止情形）至理财资金到账日为清算期，清算期内不计付利息。</w:t>
            </w:r>
          </w:p>
        </w:tc>
      </w:tr>
      <w:tr w14:paraId="0867A6FA">
        <w:trPr>
          <w:jc w:val="center"/>
        </w:trPr>
        <w:tc>
          <w:tcPr>
            <w:tcW w:w="2014" w:type="dxa"/>
            <w:noWrap w:val="0"/>
            <w:vAlign w:val="center"/>
          </w:tcPr>
          <w:p w14:paraId="76B5810C">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管理人</w:t>
            </w:r>
          </w:p>
        </w:tc>
        <w:tc>
          <w:tcPr>
            <w:tcW w:w="6290" w:type="dxa"/>
            <w:noWrap w:val="0"/>
            <w:vAlign w:val="top"/>
          </w:tcPr>
          <w:p w14:paraId="3C6344B2">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银行股份有限公司</w:t>
            </w:r>
          </w:p>
        </w:tc>
      </w:tr>
      <w:tr w14:paraId="1139563F">
        <w:trPr>
          <w:trHeight w:val="322" w:hRule="atLeast"/>
          <w:jc w:val="center"/>
        </w:trPr>
        <w:tc>
          <w:tcPr>
            <w:tcW w:w="2014" w:type="dxa"/>
            <w:noWrap w:val="0"/>
            <w:vAlign w:val="center"/>
          </w:tcPr>
          <w:p w14:paraId="24AC6404">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托管人</w:t>
            </w:r>
          </w:p>
        </w:tc>
        <w:tc>
          <w:tcPr>
            <w:tcW w:w="6290" w:type="dxa"/>
            <w:noWrap w:val="0"/>
            <w:vAlign w:val="top"/>
          </w:tcPr>
          <w:p w14:paraId="01C96137">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b w:val="0"/>
                <w:bCs/>
                <w:sz w:val="20"/>
                <w:szCs w:val="20"/>
                <w:highlight w:val="none"/>
                <w:lang w:val="en-US" w:eastAsia="zh-CN"/>
              </w:rPr>
              <w:t>宁波</w:t>
            </w:r>
            <w:r>
              <w:rPr>
                <w:rFonts w:hint="eastAsia" w:ascii="微软雅黑" w:hAnsi="微软雅黑" w:eastAsia="微软雅黑" w:cs="微软雅黑"/>
                <w:sz w:val="20"/>
                <w:szCs w:val="20"/>
                <w:highlight w:val="none"/>
              </w:rPr>
              <w:t>银行股份有限公司</w:t>
            </w:r>
          </w:p>
        </w:tc>
      </w:tr>
      <w:tr w14:paraId="48068A62">
        <w:trPr>
          <w:jc w:val="center"/>
        </w:trPr>
        <w:tc>
          <w:tcPr>
            <w:tcW w:w="2014" w:type="dxa"/>
            <w:noWrap w:val="0"/>
            <w:vAlign w:val="center"/>
          </w:tcPr>
          <w:p w14:paraId="4042AE2B">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业绩比较基准</w:t>
            </w:r>
          </w:p>
        </w:tc>
        <w:tc>
          <w:tcPr>
            <w:tcW w:w="6290" w:type="dxa"/>
            <w:noWrap w:val="0"/>
            <w:vAlign w:val="top"/>
          </w:tcPr>
          <w:p w14:paraId="1D182456">
            <w:pPr>
              <w:numPr>
                <w:ilvl w:val="-1"/>
                <w:numId w:val="0"/>
              </w:numPr>
              <w:spacing w:beforeLines="0" w:afterLines="0" w:line="320" w:lineRule="exact"/>
              <w:ind w:firstLine="0" w:firstLineChars="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管理人对本产品设定业绩比较基准：年化【1.70%,2.45%】</w:t>
            </w:r>
          </w:p>
          <w:p w14:paraId="5FE6E11E">
            <w:pPr>
              <w:numPr>
                <w:ilvl w:val="0"/>
                <w:numId w:val="1"/>
              </w:num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业绩比较基准的说明</w:t>
            </w:r>
          </w:p>
          <w:p w14:paraId="3EFCB7C8">
            <w:pPr>
              <w:numPr>
                <w:ilvl w:val="-1"/>
                <w:numId w:val="0"/>
              </w:num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产品为固定收益类理财产品，产品配置固定收益类资产为主。管理人基于当前对未来市场的判断，通过定量与定性相结合的办法，根据拟投资固定收益类资产收益率水平、信用利差、久期敞口以及流动性溢价等因素调整组合仓位和各类资产的投资比例，考虑杠杆和费率等因素，设定业绩比较基准。</w:t>
            </w:r>
          </w:p>
          <w:p w14:paraId="3D72F4C0">
            <w:pPr>
              <w:numPr>
                <w:ilvl w:val="0"/>
                <w:numId w:val="1"/>
              </w:numPr>
              <w:spacing w:beforeLines="0" w:afterLines="0" w:line="320" w:lineRule="exact"/>
              <w:ind w:firstLine="0" w:firstLineChars="0"/>
              <w:rPr>
                <w:rFonts w:hint="eastAsia" w:ascii="微软雅黑" w:hAnsi="微软雅黑" w:eastAsia="微软雅黑" w:cs="微软雅黑"/>
                <w:b w:val="0"/>
                <w:bCs w:val="0"/>
                <w:sz w:val="20"/>
                <w:szCs w:val="20"/>
                <w:highlight w:val="none"/>
                <w:lang w:val="en-US" w:eastAsia="zh-CN"/>
              </w:rPr>
            </w:pPr>
            <w:r>
              <w:rPr>
                <w:rFonts w:hint="eastAsia" w:ascii="微软雅黑" w:hAnsi="微软雅黑" w:eastAsia="微软雅黑" w:cs="微软雅黑"/>
                <w:b w:val="0"/>
                <w:bCs w:val="0"/>
                <w:sz w:val="20"/>
                <w:szCs w:val="20"/>
                <w:highlight w:val="none"/>
                <w:lang w:val="en-US" w:eastAsia="zh-CN"/>
              </w:rPr>
              <w:t>业绩比较基准的提示</w:t>
            </w:r>
          </w:p>
          <w:p w14:paraId="5BDB0C86">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b w:val="0"/>
                <w:bCs w:val="0"/>
                <w:sz w:val="20"/>
                <w:szCs w:val="20"/>
                <w:highlight w:val="none"/>
              </w:rPr>
              <w:t>本业绩比较基准为管理人制定的投资目标，</w:t>
            </w:r>
            <w:r>
              <w:rPr>
                <w:rFonts w:hint="eastAsia" w:ascii="微软雅黑" w:hAnsi="微软雅黑" w:eastAsia="微软雅黑" w:cs="微软雅黑"/>
                <w:b/>
                <w:bCs/>
                <w:sz w:val="20"/>
                <w:szCs w:val="20"/>
                <w:highlight w:val="none"/>
              </w:rPr>
              <w:t>不是预期收益率，不代表本理财产品的未来表现和实际收益，不构成产品管理人对理财产品的任何收益承诺</w:t>
            </w:r>
            <w:r>
              <w:rPr>
                <w:rFonts w:hint="eastAsia" w:ascii="微软雅黑" w:hAnsi="微软雅黑" w:eastAsia="微软雅黑" w:cs="微软雅黑"/>
                <w:sz w:val="20"/>
                <w:szCs w:val="20"/>
                <w:highlight w:val="none"/>
                <w:lang w:eastAsia="zh-CN"/>
              </w:rPr>
              <w:t>，仅作为计算浮动管理费的依据</w:t>
            </w:r>
            <w:r>
              <w:rPr>
                <w:rFonts w:hint="eastAsia" w:ascii="微软雅黑" w:hAnsi="微软雅黑" w:eastAsia="微软雅黑" w:cs="微软雅黑"/>
                <w:sz w:val="20"/>
                <w:szCs w:val="20"/>
                <w:highlight w:val="none"/>
              </w:rPr>
              <w:t>。</w:t>
            </w:r>
          </w:p>
          <w:p w14:paraId="1E9C69EA">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管理人有权根据市场变动及产品运作情况调整产品业绩比较基准，并至少于新业绩比较基准启用前1个工作日公布。</w:t>
            </w:r>
          </w:p>
        </w:tc>
      </w:tr>
      <w:tr w14:paraId="1D563694">
        <w:trPr>
          <w:jc w:val="center"/>
        </w:trPr>
        <w:tc>
          <w:tcPr>
            <w:tcW w:w="2014" w:type="dxa"/>
            <w:noWrap w:val="0"/>
            <w:vAlign w:val="center"/>
          </w:tcPr>
          <w:p w14:paraId="1E3D5774">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相关费用</w:t>
            </w:r>
          </w:p>
        </w:tc>
        <w:tc>
          <w:tcPr>
            <w:tcW w:w="6290" w:type="dxa"/>
            <w:noWrap w:val="0"/>
            <w:vAlign w:val="top"/>
          </w:tcPr>
          <w:p w14:paraId="6A46CAEE">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pacing w:val="4"/>
                <w:sz w:val="20"/>
                <w:szCs w:val="20"/>
              </w:rPr>
              <w:t>产品费用</w:t>
            </w:r>
            <w:r>
              <w:rPr>
                <w:rFonts w:hint="eastAsia" w:ascii="微软雅黑" w:hAnsi="微软雅黑" w:eastAsia="微软雅黑" w:cs="微软雅黑"/>
                <w:spacing w:val="4"/>
                <w:sz w:val="20"/>
                <w:szCs w:val="20"/>
                <w:lang w:val="en-US" w:eastAsia="zh-CN"/>
              </w:rPr>
              <w:t>详见本</w:t>
            </w:r>
            <w:r>
              <w:rPr>
                <w:rFonts w:hint="eastAsia" w:ascii="微软雅黑" w:hAnsi="微软雅黑" w:eastAsia="微软雅黑" w:cs="微软雅黑"/>
                <w:b w:val="0"/>
                <w:bCs w:val="0"/>
                <w:spacing w:val="4"/>
                <w:sz w:val="20"/>
                <w:szCs w:val="20"/>
                <w:lang w:eastAsia="zh-CN"/>
              </w:rPr>
              <w:t>《</w:t>
            </w:r>
            <w:r>
              <w:rPr>
                <w:rFonts w:hint="eastAsia" w:ascii="微软雅黑" w:hAnsi="微软雅黑" w:eastAsia="微软雅黑" w:cs="微软雅黑"/>
                <w:b w:val="0"/>
                <w:bCs w:val="0"/>
                <w:spacing w:val="4"/>
                <w:sz w:val="20"/>
                <w:szCs w:val="20"/>
                <w:lang w:val="en-US" w:eastAsia="zh-CN"/>
              </w:rPr>
              <w:t>产品说明书</w:t>
            </w:r>
            <w:r>
              <w:rPr>
                <w:rFonts w:hint="eastAsia" w:ascii="微软雅黑" w:hAnsi="微软雅黑" w:eastAsia="微软雅黑" w:cs="微软雅黑"/>
                <w:b w:val="0"/>
                <w:bCs w:val="0"/>
                <w:spacing w:val="4"/>
                <w:sz w:val="20"/>
                <w:szCs w:val="20"/>
                <w:lang w:eastAsia="zh-CN"/>
              </w:rPr>
              <w:t>》</w:t>
            </w:r>
            <w:r>
              <w:rPr>
                <w:rFonts w:hint="eastAsia" w:ascii="微软雅黑" w:hAnsi="微软雅黑" w:eastAsia="微软雅黑" w:cs="微软雅黑"/>
                <w:spacing w:val="4"/>
                <w:sz w:val="20"/>
                <w:szCs w:val="20"/>
                <w:lang w:val="en-US" w:eastAsia="zh-CN"/>
              </w:rPr>
              <w:t>“七、费用”约定。</w:t>
            </w:r>
          </w:p>
        </w:tc>
      </w:tr>
      <w:tr w14:paraId="2C02D67B">
        <w:trPr>
          <w:jc w:val="center"/>
        </w:trPr>
        <w:tc>
          <w:tcPr>
            <w:tcW w:w="2014" w:type="dxa"/>
            <w:noWrap w:val="0"/>
            <w:vAlign w:val="center"/>
          </w:tcPr>
          <w:p w14:paraId="0439FD94">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节假日</w:t>
            </w:r>
          </w:p>
        </w:tc>
        <w:tc>
          <w:tcPr>
            <w:tcW w:w="6290" w:type="dxa"/>
            <w:noWrap w:val="0"/>
            <w:vAlign w:val="top"/>
          </w:tcPr>
          <w:p w14:paraId="7F3F4329">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中国法定公众假日（最终以国务院公布的节假日为准）</w:t>
            </w:r>
          </w:p>
        </w:tc>
      </w:tr>
      <w:tr w14:paraId="35115E38">
        <w:trPr>
          <w:jc w:val="center"/>
        </w:trPr>
        <w:tc>
          <w:tcPr>
            <w:tcW w:w="2014" w:type="dxa"/>
            <w:noWrap w:val="0"/>
            <w:vAlign w:val="center"/>
          </w:tcPr>
          <w:p w14:paraId="5FEE65CA">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工作日</w:t>
            </w:r>
          </w:p>
        </w:tc>
        <w:tc>
          <w:tcPr>
            <w:tcW w:w="6290" w:type="dxa"/>
            <w:noWrap w:val="0"/>
            <w:vAlign w:val="top"/>
          </w:tcPr>
          <w:p w14:paraId="3F84F88D">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rPr>
              <w:t>指除中国法定节假日和公休日外的其他日期。</w:t>
            </w:r>
          </w:p>
        </w:tc>
      </w:tr>
      <w:tr w14:paraId="0127F8B5">
        <w:trPr>
          <w:jc w:val="center"/>
        </w:trPr>
        <w:tc>
          <w:tcPr>
            <w:tcW w:w="2014" w:type="dxa"/>
            <w:noWrap w:val="0"/>
            <w:vAlign w:val="center"/>
          </w:tcPr>
          <w:p w14:paraId="583B1C23">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税款</w:t>
            </w:r>
          </w:p>
        </w:tc>
        <w:tc>
          <w:tcPr>
            <w:tcW w:w="6290" w:type="dxa"/>
            <w:noWrap w:val="0"/>
            <w:vAlign w:val="top"/>
          </w:tcPr>
          <w:p w14:paraId="012187B8">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根据中国增值税等税收相关法律法规、税收政策等要求，理财产品运营过程中发生的增值税应税行为，以产品管理人为纳税人，计算并缴纳增值税及附加税费。</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作为理财产品的管理人，将按照相关规定计算应缴纳的税款，并从本理财产品中支付，由此可能会使本理财产品净值或实际收益降低，请客户知悉。客户从理财产品取得的收益应缴纳的税款，由客户自行申报及缴纳。</w:t>
            </w:r>
          </w:p>
        </w:tc>
      </w:tr>
    </w:tbl>
    <w:p w14:paraId="318A671B">
      <w:pPr>
        <w:adjustRightInd/>
        <w:snapToGrid/>
        <w:spacing w:before="157" w:beforeLines="50" w:afterLines="0" w:line="320" w:lineRule="exact"/>
        <w:ind w:left="0" w:firstLine="0" w:firstLineChars="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管理人</w:t>
      </w:r>
    </w:p>
    <w:p w14:paraId="5FFB8195">
      <w:p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eastAsia="zh-CN"/>
        </w:rPr>
        <w:t>广东华润银行股份有限公司</w:t>
      </w:r>
      <w:r>
        <w:rPr>
          <w:rFonts w:hint="eastAsia" w:ascii="微软雅黑" w:hAnsi="微软雅黑" w:eastAsia="微软雅黑" w:cs="微软雅黑"/>
          <w:b w:val="0"/>
          <w:bCs/>
          <w:sz w:val="20"/>
          <w:szCs w:val="20"/>
          <w:highlight w:val="none"/>
          <w:lang w:val="en-US" w:eastAsia="zh-CN"/>
        </w:rPr>
        <w:t>作为本理财产品管理人，</w:t>
      </w:r>
      <w:r>
        <w:rPr>
          <w:rFonts w:hint="eastAsia" w:ascii="微软雅黑" w:hAnsi="微软雅黑" w:eastAsia="微软雅黑" w:cs="微软雅黑"/>
          <w:spacing w:val="7"/>
          <w:sz w:val="20"/>
          <w:szCs w:val="20"/>
          <w:lang w:val="en-US" w:eastAsia="zh-CN"/>
        </w:rPr>
        <w:t>住所是广东省珠海市香洲高新区北城东三路88号华润银行大厦，联系方式96588。</w:t>
      </w:r>
      <w:r>
        <w:rPr>
          <w:rFonts w:hint="eastAsia" w:ascii="微软雅黑" w:hAnsi="微软雅黑" w:eastAsia="微软雅黑" w:cs="微软雅黑"/>
          <w:b w:val="0"/>
          <w:bCs/>
          <w:sz w:val="20"/>
          <w:szCs w:val="20"/>
          <w:highlight w:val="none"/>
          <w:lang w:eastAsia="zh-CN"/>
        </w:rPr>
        <w:t>负责本理财产品的投资运作和产品管理，投资者在此授权并同意广东华润银行股份有限公司享有以下权利：</w:t>
      </w:r>
    </w:p>
    <w:p w14:paraId="33381B63">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val="en-US" w:eastAsia="zh-CN"/>
        </w:rPr>
      </w:pPr>
      <w:r>
        <w:rPr>
          <w:rFonts w:hint="eastAsia" w:ascii="微软雅黑" w:hAnsi="微软雅黑" w:eastAsia="微软雅黑" w:cs="微软雅黑"/>
          <w:b w:val="0"/>
          <w:bCs/>
          <w:sz w:val="20"/>
          <w:szCs w:val="20"/>
          <w:highlight w:val="none"/>
          <w:lang w:val="en-US" w:eastAsia="zh-CN"/>
        </w:rPr>
        <w:t>1.按照</w:t>
      </w:r>
      <w:r>
        <w:rPr>
          <w:rFonts w:hint="eastAsia" w:ascii="微软雅黑" w:hAnsi="微软雅黑" w:eastAsia="微软雅黑" w:cs="微软雅黑"/>
          <w:bCs/>
          <w:sz w:val="20"/>
          <w:szCs w:val="20"/>
          <w:highlight w:val="none"/>
          <w:lang w:eastAsia="zh-CN"/>
        </w:rPr>
        <w:t>理财产品销售文件</w:t>
      </w:r>
      <w:r>
        <w:rPr>
          <w:rFonts w:hint="eastAsia" w:ascii="微软雅黑" w:hAnsi="微软雅黑" w:eastAsia="微软雅黑" w:cs="微软雅黑"/>
          <w:b w:val="0"/>
          <w:bCs/>
          <w:sz w:val="20"/>
          <w:szCs w:val="20"/>
          <w:highlight w:val="none"/>
          <w:lang w:val="en-US" w:eastAsia="zh-CN"/>
        </w:rPr>
        <w:t>的约定，管理、运用和处分理财产品资金；</w:t>
      </w:r>
    </w:p>
    <w:p w14:paraId="75BF7248">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2.按照理财产品销售文件的约定，及时、足额获得投资管理费；</w:t>
      </w:r>
    </w:p>
    <w:p w14:paraId="44154CAA">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3.有权根据理财产品销售文件的约定提前终止本理财产品或延长本理财产品的期限；</w:t>
      </w:r>
    </w:p>
    <w:p w14:paraId="7A75A7F1">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4.以其固有财产先行垫付因处理本理财产品相关事务所支出的理财产品费用及税费的，对理财产品资金享有优先受偿的权利；</w:t>
      </w:r>
    </w:p>
    <w:p w14:paraId="7B0F4293">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5.</w:t>
      </w:r>
      <w:r>
        <w:rPr>
          <w:rFonts w:hint="eastAsia" w:ascii="微软雅黑" w:hAnsi="微软雅黑" w:eastAsia="微软雅黑" w:cs="微软雅黑"/>
          <w:b w:val="0"/>
          <w:bCs/>
          <w:sz w:val="20"/>
          <w:szCs w:val="20"/>
          <w:highlight w:val="none"/>
          <w:lang w:eastAsia="zh-CN"/>
        </w:rPr>
        <w:t>有权调整认</w:t>
      </w:r>
      <w:r>
        <w:rPr>
          <w:rFonts w:hint="eastAsia" w:ascii="微软雅黑" w:hAnsi="微软雅黑" w:eastAsia="微软雅黑" w:cs="微软雅黑"/>
          <w:b w:val="0"/>
          <w:bCs/>
          <w:sz w:val="20"/>
          <w:szCs w:val="20"/>
          <w:highlight w:val="none"/>
          <w:lang w:val="en-US" w:eastAsia="zh-CN"/>
        </w:rPr>
        <w:t>/申购资金的最低金额；</w:t>
      </w:r>
    </w:p>
    <w:p w14:paraId="46129BD7">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6.有权按照法律规定和监管机构的要求将投资者的信息向有权部门或相关机构披露；</w:t>
      </w:r>
    </w:p>
    <w:p w14:paraId="3845ADBE">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7.</w:t>
      </w:r>
      <w:r>
        <w:rPr>
          <w:rFonts w:hint="eastAsia" w:ascii="微软雅黑" w:hAnsi="微软雅黑" w:eastAsia="微软雅黑" w:cs="微软雅黑"/>
          <w:b w:val="0"/>
          <w:bCs/>
          <w:sz w:val="20"/>
          <w:szCs w:val="20"/>
          <w:highlight w:val="none"/>
          <w:lang w:eastAsia="zh-CN"/>
        </w:rPr>
        <w:t>以理财产品管理人的名义，依照法律法规相关规定以及为理财产品的利益，对被投资的各类基金（含公募基金和私募基金）、公司</w:t>
      </w:r>
      <w:r>
        <w:rPr>
          <w:rFonts w:hint="eastAsia" w:ascii="微软雅黑" w:hAnsi="微软雅黑" w:eastAsia="微软雅黑" w:cs="微软雅黑"/>
          <w:b w:val="0"/>
          <w:bCs/>
          <w:sz w:val="20"/>
          <w:szCs w:val="20"/>
          <w:highlight w:val="none"/>
          <w:lang w:val="en-US" w:eastAsia="zh-CN"/>
        </w:rPr>
        <w:t>/企业等行使出资人/投资者权利（包括但不限于表决投票的权利）以及行使因理财产品财产投资于证券类基础资产（含债券）或其他基础资产（包括但不限于债权类资产）所产生的相关权利；</w:t>
      </w:r>
    </w:p>
    <w:p w14:paraId="5DEB86C6">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8.以理财产品管理人的名义，依照法律法规相关规定以及代表理财产品份额持有人的利益行使代为追索（包括但不限于提起诉讼/仲裁、申请保全/执行的权利）、和解等权利或者实施其他法律行为；</w:t>
      </w:r>
    </w:p>
    <w:p w14:paraId="63BB4E77">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9.在法律法规、监管政策允许的前提下调整估值日；</w:t>
      </w:r>
    </w:p>
    <w:p w14:paraId="6AAF8EEA">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10.行使法律法规、监管政策和</w:t>
      </w:r>
      <w:r>
        <w:rPr>
          <w:rFonts w:hint="eastAsia" w:ascii="微软雅黑" w:hAnsi="微软雅黑" w:eastAsia="微软雅黑" w:cs="微软雅黑"/>
          <w:bCs/>
          <w:sz w:val="20"/>
          <w:szCs w:val="20"/>
          <w:highlight w:val="none"/>
          <w:lang w:eastAsia="zh-CN"/>
        </w:rPr>
        <w:t>理财产品销售文件</w:t>
      </w:r>
      <w:r>
        <w:rPr>
          <w:rFonts w:hint="eastAsia" w:ascii="微软雅黑" w:hAnsi="微软雅黑" w:eastAsia="微软雅黑" w:cs="微软雅黑"/>
          <w:b w:val="0"/>
          <w:bCs/>
          <w:sz w:val="20"/>
          <w:szCs w:val="20"/>
          <w:highlight w:val="none"/>
          <w:lang w:val="en-US" w:eastAsia="zh-CN"/>
        </w:rPr>
        <w:t>约定的其他权利。</w:t>
      </w:r>
    </w:p>
    <w:p w14:paraId="27397A5B">
      <w:pPr>
        <w:adjustRightInd/>
        <w:snapToGrid/>
        <w:spacing w:before="157" w:beforeLines="50" w:afterLines="0" w:line="320" w:lineRule="exact"/>
        <w:ind w:left="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托管人</w:t>
      </w:r>
    </w:p>
    <w:p w14:paraId="41B1AD41">
      <w:p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val="en-US" w:eastAsia="zh-CN"/>
        </w:rPr>
      </w:pPr>
      <w:r>
        <w:rPr>
          <w:rFonts w:hint="eastAsia" w:ascii="微软雅黑" w:hAnsi="微软雅黑" w:eastAsia="微软雅黑" w:cs="微软雅黑"/>
          <w:b w:val="0"/>
          <w:bCs/>
          <w:sz w:val="20"/>
          <w:szCs w:val="20"/>
          <w:highlight w:val="none"/>
          <w:lang w:val="en-US" w:eastAsia="zh-CN"/>
        </w:rPr>
        <w:t>宁波银行股份有限公司作为本理财产品的托管人。</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4"/>
        <w:gridCol w:w="7308"/>
      </w:tblGrid>
      <w:tr w14:paraId="35E6771B">
        <w:trPr>
          <w:trHeight w:val="334" w:hRule="atLeast"/>
        </w:trPr>
        <w:tc>
          <w:tcPr>
            <w:tcW w:w="1214" w:type="dxa"/>
          </w:tcPr>
          <w:p w14:paraId="689D66C5">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托管人</w:t>
            </w:r>
          </w:p>
        </w:tc>
        <w:tc>
          <w:tcPr>
            <w:tcW w:w="7308" w:type="dxa"/>
          </w:tcPr>
          <w:p w14:paraId="634E8CF5">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宁波</w:t>
            </w:r>
            <w:r>
              <w:rPr>
                <w:rFonts w:hint="default" w:ascii="微软雅黑" w:hAnsi="微软雅黑" w:eastAsia="微软雅黑" w:cs="微软雅黑"/>
                <w:snapToGrid w:val="0"/>
                <w:color w:val="000000"/>
                <w:spacing w:val="8"/>
                <w:kern w:val="0"/>
                <w:sz w:val="20"/>
                <w:szCs w:val="20"/>
                <w:vertAlign w:val="baseline"/>
                <w:lang w:val="en-US" w:eastAsia="zh-CN"/>
              </w:rPr>
              <w:t>银行股份有限公司</w:t>
            </w:r>
          </w:p>
        </w:tc>
      </w:tr>
      <w:tr w14:paraId="50955B61">
        <w:tc>
          <w:tcPr>
            <w:tcW w:w="1214" w:type="dxa"/>
          </w:tcPr>
          <w:p w14:paraId="43460C92">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住所</w:t>
            </w:r>
          </w:p>
        </w:tc>
        <w:tc>
          <w:tcPr>
            <w:tcW w:w="7308" w:type="dxa"/>
          </w:tcPr>
          <w:p w14:paraId="066919DA">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浙江省宁波市宁东路345号</w:t>
            </w:r>
          </w:p>
        </w:tc>
      </w:tr>
      <w:tr w14:paraId="74ECF5CD">
        <w:tc>
          <w:tcPr>
            <w:tcW w:w="1214" w:type="dxa"/>
          </w:tcPr>
          <w:p w14:paraId="299AAA63">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联系方式</w:t>
            </w:r>
          </w:p>
        </w:tc>
        <w:tc>
          <w:tcPr>
            <w:tcW w:w="7308" w:type="dxa"/>
          </w:tcPr>
          <w:p w14:paraId="4B1E5AB1">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95574</w:t>
            </w:r>
          </w:p>
        </w:tc>
      </w:tr>
      <w:tr w14:paraId="2995C940">
        <w:tc>
          <w:tcPr>
            <w:tcW w:w="1214" w:type="dxa"/>
          </w:tcPr>
          <w:p w14:paraId="4A14963D">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主要职责</w:t>
            </w:r>
          </w:p>
        </w:tc>
        <w:tc>
          <w:tcPr>
            <w:tcW w:w="7308" w:type="dxa"/>
          </w:tcPr>
          <w:p w14:paraId="52C39749">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提供包括账户开立、资金保管、资金清算、估值核算等理财产品托管服务</w:t>
            </w:r>
            <w:r>
              <w:rPr>
                <w:rFonts w:hint="eastAsia" w:ascii="微软雅黑" w:hAnsi="微软雅黑" w:eastAsia="微软雅黑" w:cs="微软雅黑"/>
                <w:snapToGrid w:val="0"/>
                <w:color w:val="000000"/>
                <w:spacing w:val="8"/>
                <w:kern w:val="0"/>
                <w:sz w:val="20"/>
                <w:szCs w:val="20"/>
                <w:vertAlign w:val="baseline"/>
                <w:lang w:val="en-US" w:eastAsia="zh-CN"/>
              </w:rPr>
              <w:t>。</w:t>
            </w:r>
          </w:p>
        </w:tc>
      </w:tr>
    </w:tbl>
    <w:p w14:paraId="711909C9">
      <w:pPr>
        <w:widowControl/>
        <w:kinsoku/>
        <w:autoSpaceDE/>
        <w:autoSpaceDN/>
        <w:adjustRightInd/>
        <w:snapToGrid/>
        <w:spacing w:before="157" w:beforeLines="50" w:afterLines="0" w:line="320" w:lineRule="exact"/>
        <w:ind w:left="0"/>
        <w:jc w:val="left"/>
        <w:textAlignment w:val="auto"/>
        <w:rPr>
          <w:rFonts w:hint="eastAsia" w:ascii="微软雅黑" w:hAnsi="微软雅黑" w:eastAsia="微软雅黑" w:cs="微软雅黑"/>
          <w:b/>
          <w:bCs/>
          <w:snapToGrid w:val="0"/>
          <w:color w:val="000000"/>
          <w:spacing w:val="8"/>
          <w:kern w:val="0"/>
          <w:sz w:val="20"/>
          <w:szCs w:val="20"/>
          <w:lang w:val="en-US" w:eastAsia="zh-CN"/>
        </w:rPr>
      </w:pPr>
      <w:r>
        <w:rPr>
          <w:rFonts w:hint="eastAsia" w:ascii="微软雅黑" w:hAnsi="微软雅黑" w:eastAsia="微软雅黑" w:cs="微软雅黑"/>
          <w:b/>
          <w:bCs/>
          <w:snapToGrid w:val="0"/>
          <w:color w:val="000000"/>
          <w:spacing w:val="8"/>
          <w:kern w:val="0"/>
          <w:sz w:val="20"/>
          <w:szCs w:val="20"/>
          <w:lang w:val="en-US" w:eastAsia="zh-CN"/>
        </w:rPr>
        <w:t>销售</w:t>
      </w:r>
      <w:r>
        <w:rPr>
          <w:rFonts w:hint="eastAsia" w:ascii="微软雅黑" w:hAnsi="微软雅黑" w:eastAsia="微软雅黑" w:cs="微软雅黑"/>
          <w:b/>
          <w:bCs w:val="0"/>
          <w:snapToGrid/>
          <w:color w:val="auto"/>
          <w:spacing w:val="0"/>
          <w:kern w:val="2"/>
          <w:sz w:val="20"/>
          <w:szCs w:val="20"/>
          <w:highlight w:val="none"/>
          <w:lang w:val="en-US" w:eastAsia="zh-CN"/>
        </w:rPr>
        <w:t>服务</w:t>
      </w:r>
      <w:r>
        <w:rPr>
          <w:rFonts w:hint="eastAsia" w:ascii="微软雅黑" w:hAnsi="微软雅黑" w:eastAsia="微软雅黑" w:cs="微软雅黑"/>
          <w:b/>
          <w:bCs/>
          <w:snapToGrid w:val="0"/>
          <w:color w:val="000000"/>
          <w:spacing w:val="8"/>
          <w:kern w:val="0"/>
          <w:sz w:val="20"/>
          <w:szCs w:val="20"/>
          <w:lang w:val="en-US" w:eastAsia="zh-CN"/>
        </w:rPr>
        <w:t>机构</w:t>
      </w:r>
    </w:p>
    <w:p w14:paraId="15A9F6D4">
      <w:pPr>
        <w:widowControl/>
        <w:kinsoku w:val="0"/>
        <w:autoSpaceDE/>
        <w:autoSpaceDN/>
        <w:adjustRightInd w:val="0"/>
        <w:snapToGrid w:val="0"/>
        <w:spacing w:before="0" w:beforeLines="0" w:afterLines="0" w:line="320" w:lineRule="exact"/>
        <w:ind w:left="0" w:firstLine="432" w:firstLineChars="200"/>
        <w:jc w:val="left"/>
        <w:textAlignment w:val="baseline"/>
        <w:rPr>
          <w:rFonts w:hint="default" w:ascii="微软雅黑" w:hAnsi="微软雅黑" w:eastAsia="微软雅黑" w:cs="微软雅黑"/>
          <w:snapToGrid w:val="0"/>
          <w:color w:val="000000"/>
          <w:spacing w:val="8"/>
          <w:kern w:val="0"/>
          <w:sz w:val="20"/>
          <w:szCs w:val="20"/>
          <w:lang w:val="en-US" w:eastAsia="zh-CN"/>
        </w:rPr>
      </w:pPr>
      <w:r>
        <w:rPr>
          <w:rFonts w:hint="eastAsia" w:ascii="微软雅黑" w:hAnsi="微软雅黑" w:eastAsia="微软雅黑" w:cs="微软雅黑"/>
          <w:snapToGrid w:val="0"/>
          <w:color w:val="000000"/>
          <w:spacing w:val="8"/>
          <w:kern w:val="0"/>
          <w:sz w:val="20"/>
          <w:szCs w:val="20"/>
          <w:lang w:val="en-US" w:eastAsia="zh-CN"/>
        </w:rPr>
        <w:t>本产品的销售服务机构为广东华润银行。</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40"/>
        <w:gridCol w:w="6882"/>
      </w:tblGrid>
      <w:tr w14:paraId="75DB1625">
        <w:tc>
          <w:tcPr>
            <w:tcW w:w="1640" w:type="dxa"/>
          </w:tcPr>
          <w:p w14:paraId="3EEC0DFB">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销售服务机构</w:t>
            </w:r>
          </w:p>
        </w:tc>
        <w:tc>
          <w:tcPr>
            <w:tcW w:w="6882" w:type="dxa"/>
          </w:tcPr>
          <w:p w14:paraId="27C8015A">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广东华润银行</w:t>
            </w:r>
            <w:r>
              <w:rPr>
                <w:rFonts w:hint="default" w:ascii="微软雅黑" w:hAnsi="微软雅黑" w:eastAsia="微软雅黑" w:cs="微软雅黑"/>
                <w:snapToGrid w:val="0"/>
                <w:color w:val="000000"/>
                <w:spacing w:val="8"/>
                <w:kern w:val="0"/>
                <w:sz w:val="20"/>
                <w:szCs w:val="20"/>
                <w:vertAlign w:val="baseline"/>
                <w:lang w:val="en-US" w:eastAsia="zh-CN"/>
              </w:rPr>
              <w:t>股份有限公司</w:t>
            </w:r>
          </w:p>
        </w:tc>
      </w:tr>
      <w:tr w14:paraId="36C4C812">
        <w:tc>
          <w:tcPr>
            <w:tcW w:w="1640" w:type="dxa"/>
          </w:tcPr>
          <w:p w14:paraId="2CBBD114">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住所</w:t>
            </w:r>
          </w:p>
        </w:tc>
        <w:tc>
          <w:tcPr>
            <w:tcW w:w="6882" w:type="dxa"/>
          </w:tcPr>
          <w:p w14:paraId="68385F13">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广东省珠海市香洲高新区北城东三路88号华润银行大厦</w:t>
            </w:r>
          </w:p>
        </w:tc>
      </w:tr>
      <w:tr w14:paraId="7B41E312">
        <w:tc>
          <w:tcPr>
            <w:tcW w:w="1640" w:type="dxa"/>
          </w:tcPr>
          <w:p w14:paraId="65146308">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联系方式</w:t>
            </w:r>
          </w:p>
        </w:tc>
        <w:tc>
          <w:tcPr>
            <w:tcW w:w="6882" w:type="dxa"/>
          </w:tcPr>
          <w:p w14:paraId="37D36CEF">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96588</w:t>
            </w:r>
          </w:p>
        </w:tc>
      </w:tr>
      <w:tr w14:paraId="75D2B038">
        <w:tc>
          <w:tcPr>
            <w:tcW w:w="1640" w:type="dxa"/>
            <w:vAlign w:val="center"/>
          </w:tcPr>
          <w:p w14:paraId="77EEA48E">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主要职责</w:t>
            </w:r>
          </w:p>
        </w:tc>
        <w:tc>
          <w:tcPr>
            <w:tcW w:w="6882" w:type="dxa"/>
          </w:tcPr>
          <w:p w14:paraId="439848EC">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提供包括理财产品宣传推广、投资者风险承受能力评估和投资者适当性管理、理财产品份额认购/申购（如有）/赎回（如有）、协助管理人与投资者订立理财产品合同、协助管理人与投资者沟通及进行信息披露、接受投资者咨询和投资者维护等销售服务。</w:t>
            </w:r>
          </w:p>
        </w:tc>
      </w:tr>
    </w:tbl>
    <w:p w14:paraId="0C99F011">
      <w:pPr>
        <w:numPr>
          <w:ilvl w:val="0"/>
          <w:numId w:val="0"/>
        </w:numPr>
        <w:adjustRightInd w:val="0"/>
        <w:snapToGrid w:val="0"/>
        <w:spacing w:before="313" w:beforeLines="100" w:afterLines="0" w:line="320" w:lineRule="exact"/>
        <w:ind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三、</w:t>
      </w:r>
      <w:r>
        <w:rPr>
          <w:rFonts w:hint="eastAsia" w:ascii="微软雅黑" w:hAnsi="微软雅黑" w:eastAsia="微软雅黑" w:cs="微软雅黑"/>
          <w:b/>
          <w:sz w:val="20"/>
          <w:szCs w:val="20"/>
          <w:highlight w:val="none"/>
        </w:rPr>
        <w:t>投资</w:t>
      </w:r>
      <w:r>
        <w:rPr>
          <w:rFonts w:hint="eastAsia" w:ascii="微软雅黑" w:hAnsi="微软雅黑" w:eastAsia="微软雅黑" w:cs="微软雅黑"/>
          <w:b/>
          <w:sz w:val="20"/>
          <w:szCs w:val="20"/>
          <w:highlight w:val="none"/>
          <w:lang w:eastAsia="zh-CN"/>
        </w:rPr>
        <w:t>运作</w:t>
      </w:r>
    </w:p>
    <w:p w14:paraId="66C77F5F">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（一）投资范围</w:t>
      </w:r>
    </w:p>
    <w:p w14:paraId="43AC56D2">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本理财产品直接或间接投资于符合监管要求的以下金融资产和金融工具，包括但不限于：</w:t>
      </w:r>
    </w:p>
    <w:p w14:paraId="05A96FB3">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固定收益类资产：现金、银行存款、同业存款、大额存单、同业存单、资金拆借、债券回购、货币基金等货币市场工具；国债、央票、企业债、金融债、政策性金融债、次级债、资产支持证券、地方政府债、中期票据、短期融资券、超短期融资券、公司债、私募债、永续债、可转换债券、可交换债、非公开定向</w:t>
      </w:r>
      <w:r>
        <w:rPr>
          <w:rFonts w:hint="eastAsia" w:ascii="微软雅黑" w:hAnsi="微软雅黑" w:eastAsia="微软雅黑" w:cs="微软雅黑"/>
          <w:sz w:val="20"/>
          <w:szCs w:val="20"/>
          <w:highlight w:val="none"/>
          <w:lang w:eastAsia="zh-CN"/>
        </w:rPr>
        <w:t>债务</w:t>
      </w:r>
      <w:r>
        <w:rPr>
          <w:rFonts w:hint="eastAsia" w:ascii="微软雅黑" w:hAnsi="微软雅黑" w:eastAsia="微软雅黑" w:cs="微软雅黑"/>
          <w:sz w:val="20"/>
          <w:szCs w:val="20"/>
          <w:highlight w:val="none"/>
        </w:rPr>
        <w:t>融资工具（PPN）、二级资本债、债券型基金等标准化债权资产；信托贷款（含可续期信托贷款）、应收账款、收益权转让、承兑汇票、信用证、收益凭证等非标准化债权资产；以及监管部门认可的其他金融投资工具。</w:t>
      </w:r>
    </w:p>
    <w:p w14:paraId="7E3BEC9E">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包含权益类资产、商品及金融衍生品类资产等。权益类资产：公募股票型基金、ETF、ETF联接基金、公募REITs、投资于权益类资产的资产管理产品，以及符合监管要求的其他权益类资产。商品及金融衍生品类资产：股指期货、国债期货、商品期货、利率互换、收益互换、交易所上市期权等。</w:t>
      </w:r>
    </w:p>
    <w:p w14:paraId="455A4427">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b/>
          <w:bCs/>
          <w:sz w:val="20"/>
          <w:szCs w:val="20"/>
          <w:highlight w:val="none"/>
        </w:rPr>
        <w:t>本产品</w:t>
      </w:r>
      <w:r>
        <w:rPr>
          <w:rFonts w:hint="eastAsia" w:ascii="微软雅黑" w:hAnsi="微软雅黑" w:eastAsia="微软雅黑" w:cs="微软雅黑"/>
          <w:b/>
          <w:bCs/>
          <w:sz w:val="20"/>
          <w:szCs w:val="20"/>
          <w:highlight w:val="none"/>
          <w:lang w:val="en-US" w:eastAsia="zh-CN"/>
        </w:rPr>
        <w:t>可能</w:t>
      </w:r>
      <w:r>
        <w:rPr>
          <w:rFonts w:hint="eastAsia" w:ascii="微软雅黑" w:hAnsi="微软雅黑" w:eastAsia="微软雅黑" w:cs="微软雅黑"/>
          <w:b/>
          <w:bCs/>
          <w:sz w:val="20"/>
          <w:szCs w:val="20"/>
          <w:highlight w:val="none"/>
        </w:rPr>
        <w:t>投资不存在活跃交易市场，并且需要采用估值技术确定公允价值的资产</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且投资上述资产的比例不超过</w:t>
      </w:r>
      <w:r>
        <w:rPr>
          <w:rFonts w:hint="eastAsia" w:ascii="微软雅黑" w:hAnsi="微软雅黑" w:eastAsia="微软雅黑" w:cs="微软雅黑"/>
          <w:b/>
          <w:bCs/>
          <w:sz w:val="20"/>
          <w:szCs w:val="20"/>
          <w:highlight w:val="none"/>
        </w:rPr>
        <w:t>理财产品净</w:t>
      </w:r>
      <w:r>
        <w:rPr>
          <w:rFonts w:hint="eastAsia" w:ascii="微软雅黑" w:hAnsi="微软雅黑" w:eastAsia="微软雅黑" w:cs="微软雅黑"/>
          <w:b/>
          <w:bCs/>
          <w:sz w:val="20"/>
          <w:szCs w:val="20"/>
          <w:highlight w:val="none"/>
          <w:lang w:val="en-US" w:eastAsia="zh-CN"/>
        </w:rPr>
        <w:t>资产</w:t>
      </w:r>
      <w:r>
        <w:rPr>
          <w:rFonts w:hint="eastAsia" w:ascii="微软雅黑" w:hAnsi="微软雅黑" w:eastAsia="微软雅黑" w:cs="微软雅黑"/>
          <w:b/>
          <w:bCs/>
          <w:sz w:val="20"/>
          <w:szCs w:val="20"/>
          <w:highlight w:val="none"/>
        </w:rPr>
        <w:t>50%。</w:t>
      </w:r>
    </w:p>
    <w:p w14:paraId="18237FB1">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如</w:t>
      </w:r>
      <w:r>
        <w:rPr>
          <w:rFonts w:hint="eastAsia" w:ascii="微软雅黑" w:hAnsi="微软雅黑" w:eastAsia="微软雅黑" w:cs="微软雅黑"/>
          <w:sz w:val="20"/>
          <w:szCs w:val="20"/>
          <w:highlight w:val="none"/>
          <w:lang w:val="en-US" w:eastAsia="zh-CN"/>
        </w:rPr>
        <w:t>日后</w:t>
      </w:r>
      <w:r>
        <w:rPr>
          <w:rFonts w:hint="eastAsia" w:ascii="微软雅黑" w:hAnsi="微软雅黑" w:eastAsia="微软雅黑" w:cs="微软雅黑"/>
          <w:sz w:val="20"/>
          <w:szCs w:val="20"/>
          <w:highlight w:val="none"/>
        </w:rPr>
        <w:t>法律法规或监管机构允许投资其他金融资产和金融工具品种，管理人在履行</w:t>
      </w:r>
      <w:r>
        <w:rPr>
          <w:rFonts w:hint="eastAsia" w:ascii="微软雅黑" w:hAnsi="微软雅黑" w:eastAsia="微软雅黑" w:cs="微软雅黑"/>
          <w:sz w:val="20"/>
          <w:szCs w:val="20"/>
          <w:highlight w:val="none"/>
          <w:lang w:val="en-US" w:eastAsia="zh-CN"/>
        </w:rPr>
        <w:t>本产品说明书之</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信息披露”约定的方式进行信息披露</w:t>
      </w:r>
      <w:r>
        <w:rPr>
          <w:rFonts w:hint="eastAsia" w:ascii="微软雅黑" w:hAnsi="微软雅黑" w:eastAsia="微软雅黑" w:cs="微软雅黑"/>
          <w:sz w:val="20"/>
          <w:szCs w:val="20"/>
          <w:highlight w:val="none"/>
        </w:rPr>
        <w:t>后，可以将其纳入投资范围。</w:t>
      </w:r>
    </w:p>
    <w:p w14:paraId="6AA1DA30">
      <w:pPr>
        <w:adjustRightInd w:val="0"/>
        <w:snapToGrid w:val="0"/>
        <w:spacing w:beforeLines="0" w:afterLines="0" w:line="320" w:lineRule="exact"/>
        <w:ind w:left="0"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各投资资产种类占总投资资产的计划投资比例如下：</w:t>
      </w:r>
    </w:p>
    <w:tbl>
      <w:tblPr>
        <w:tblStyle w:val="5"/>
        <w:tblW w:w="0" w:type="auto"/>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27"/>
        <w:gridCol w:w="2651"/>
      </w:tblGrid>
      <w:tr w14:paraId="69156287">
        <w:tc>
          <w:tcPr>
            <w:tcW w:w="3727" w:type="dxa"/>
            <w:noWrap w:val="0"/>
            <w:vAlign w:val="top"/>
          </w:tcPr>
          <w:p w14:paraId="66BACAE6">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资产种类</w:t>
            </w:r>
          </w:p>
        </w:tc>
        <w:tc>
          <w:tcPr>
            <w:tcW w:w="2651" w:type="dxa"/>
            <w:noWrap w:val="0"/>
            <w:vAlign w:val="top"/>
          </w:tcPr>
          <w:p w14:paraId="232DA003">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投资比例</w:t>
            </w:r>
          </w:p>
        </w:tc>
      </w:tr>
      <w:tr w14:paraId="4E261643">
        <w:tc>
          <w:tcPr>
            <w:tcW w:w="3727" w:type="dxa"/>
            <w:noWrap w:val="0"/>
            <w:vAlign w:val="top"/>
          </w:tcPr>
          <w:p w14:paraId="56EF57BA">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固定收益类资产</w:t>
            </w:r>
          </w:p>
        </w:tc>
        <w:tc>
          <w:tcPr>
            <w:tcW w:w="2651" w:type="dxa"/>
            <w:noWrap w:val="0"/>
            <w:vAlign w:val="top"/>
          </w:tcPr>
          <w:p w14:paraId="51543223">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80%-100%</w:t>
            </w:r>
          </w:p>
        </w:tc>
      </w:tr>
      <w:tr w14:paraId="4471E38D">
        <w:tc>
          <w:tcPr>
            <w:tcW w:w="3727" w:type="dxa"/>
            <w:noWrap w:val="0"/>
            <w:vAlign w:val="top"/>
          </w:tcPr>
          <w:p w14:paraId="7388EAA1">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w:t>
            </w:r>
          </w:p>
        </w:tc>
        <w:tc>
          <w:tcPr>
            <w:tcW w:w="2651" w:type="dxa"/>
            <w:noWrap w:val="0"/>
            <w:vAlign w:val="top"/>
          </w:tcPr>
          <w:p w14:paraId="13E41DFE">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0-20%</w:t>
            </w:r>
          </w:p>
        </w:tc>
      </w:tr>
    </w:tbl>
    <w:p w14:paraId="7D692454">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在理财产品存续期内可能因市场的重大变化导致投资比例不在上述区间，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银行将尽合理努力，以客户利益最大化为原则，在15个工作日内调整投资比例至上述区间。</w:t>
      </w:r>
    </w:p>
    <w:p w14:paraId="282B4F20">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银行有权根据市场情况，在不损害客户利益且根据约定提前公告的情况下，对本理财产品的投资范围、投资资产种类和投资比例进行调整。</w:t>
      </w:r>
    </w:p>
    <w:p w14:paraId="2BE7CB29">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w:t>
      </w:r>
      <w:r>
        <w:rPr>
          <w:rFonts w:hint="eastAsia" w:ascii="微软雅黑" w:hAnsi="微软雅黑" w:eastAsia="微软雅黑" w:cs="微软雅黑"/>
          <w:b/>
          <w:sz w:val="20"/>
          <w:szCs w:val="20"/>
          <w:highlight w:val="none"/>
          <w:lang w:val="en-US" w:eastAsia="zh-CN"/>
        </w:rPr>
        <w:t>二</w:t>
      </w:r>
      <w:r>
        <w:rPr>
          <w:rFonts w:hint="eastAsia" w:ascii="微软雅黑" w:hAnsi="微软雅黑" w:eastAsia="微软雅黑" w:cs="微软雅黑"/>
          <w:b/>
          <w:sz w:val="20"/>
          <w:szCs w:val="20"/>
          <w:highlight w:val="none"/>
          <w:lang w:eastAsia="zh-CN"/>
        </w:rPr>
        <w:t>）投资策略</w:t>
      </w:r>
    </w:p>
    <w:p w14:paraId="3E033A3A">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eastAsia="zh-CN"/>
        </w:rPr>
        <w:t>本产品以固定收益类资产配置为主，通过分析研判宏观经济走势，以及货币政策、财政政策的变化，结合利息周期变化、市场利率变化趋势等因素，采用配置策略、利率预期策略和组合久期策略、交易策略、息差策略、信用策略等，实现资产组合的稳健增值。</w:t>
      </w:r>
    </w:p>
    <w:p w14:paraId="2049EB3D">
      <w:pPr>
        <w:adjustRightInd w:val="0"/>
        <w:snapToGrid w:val="0"/>
        <w:spacing w:before="157" w:beforeLines="5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四</w:t>
      </w:r>
      <w:r>
        <w:rPr>
          <w:rFonts w:hint="eastAsia" w:ascii="微软雅黑" w:hAnsi="微软雅黑" w:eastAsia="微软雅黑" w:cs="微软雅黑"/>
          <w:b/>
          <w:sz w:val="20"/>
          <w:szCs w:val="20"/>
          <w:highlight w:val="none"/>
        </w:rPr>
        <w:t>、理财产品净值及份额的计算</w:t>
      </w:r>
    </w:p>
    <w:p w14:paraId="41C443DE">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理财产品资产净值=理财产品总资产-总负债。</w:t>
      </w:r>
    </w:p>
    <w:p w14:paraId="6BF43CB2">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理财产品份额净值=理财产品资产净值/理财产品存续份额，理财产品份额净值保留至小数点后8位（保留8位小数，8位小数点后四舍五入）。</w:t>
      </w:r>
    </w:p>
    <w:p w14:paraId="1ECDC6B1">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认购份额=认购金额/1元，认购份额保留至小数点后2位（保留2位小数，2位小数点后四舍五入）。</w:t>
      </w:r>
    </w:p>
    <w:p w14:paraId="1A5DB436">
      <w:pPr>
        <w:adjustRightInd w:val="0"/>
        <w:snapToGrid w:val="0"/>
        <w:spacing w:before="157" w:beforeLines="5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五</w:t>
      </w:r>
      <w:r>
        <w:rPr>
          <w:rFonts w:hint="eastAsia" w:ascii="微软雅黑" w:hAnsi="微软雅黑" w:eastAsia="微软雅黑" w:cs="微软雅黑"/>
          <w:b/>
          <w:sz w:val="20"/>
          <w:szCs w:val="20"/>
          <w:highlight w:val="none"/>
        </w:rPr>
        <w:t>、理财产品认购及成立</w:t>
      </w:r>
    </w:p>
    <w:p w14:paraId="006BCE1C">
      <w:p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（一）产品认购</w:t>
      </w:r>
    </w:p>
    <w:p w14:paraId="4789B17E">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1.产品登记日：本理财产品于2026年11月11日进行认购登记。</w:t>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p>
    <w:p w14:paraId="6DE0BD75">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2.认购方式及确认：</w:t>
      </w:r>
    </w:p>
    <w:p w14:paraId="73BD5526">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（1）本理财产品采取金额认购的方式；</w:t>
      </w:r>
    </w:p>
    <w:p w14:paraId="7757F76E">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银行受理认购申请并不表示对该申请成功的确认，而仅代表</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银行收到了认购申请，申请是否有效以</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银行的确认为准。</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银行在产品登记日为客户登记认购份额，客户应在产品成立后及时查询最终成交确认情况和认购的份额；</w:t>
      </w:r>
    </w:p>
    <w:p w14:paraId="48D0F195">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（3）认购撤单：认购期内允许全部或者部分撤销已递交的认购申请，部分撤销只适用于客户多次认购的情况，客户必须对应每笔认购逐笔撤销，部分撤销后剩余的各笔认购总金额不得低于5万元；</w:t>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p>
    <w:p w14:paraId="01D2B175">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（4）客户在认购期内认购成功后资金将被冻结，但仍按照</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银行公布的活期存款利率为认购资金计息，认购期内利息不计入认购本金。如认购不成功，被冻结的理财资金在产品原定认购期结束后的3个工作日内解冻；如认购成功，被冻结的理财资金划转至产品募集账户。</w:t>
      </w:r>
    </w:p>
    <w:p w14:paraId="282D2E72">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（二）产品成立</w:t>
      </w:r>
    </w:p>
    <w:p w14:paraId="291D6086">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在认购期内，未发生影响产品正常成立的任何异常事件，产品正常成立。</w:t>
      </w:r>
    </w:p>
    <w:p w14:paraId="0C2011AB">
      <w:pPr>
        <w:spacing w:beforeLines="0" w:afterLines="0" w:line="320" w:lineRule="exact"/>
        <w:ind w:firstLine="42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银行有权提前结束认购并提前成立，产品提前成立时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银行将发布公告并调整相关日期，产品最终发行量以实际募集金额为准。</w:t>
      </w:r>
    </w:p>
    <w:p w14:paraId="6482945C">
      <w:pPr>
        <w:spacing w:beforeLines="0" w:afterLines="0" w:line="320" w:lineRule="exact"/>
        <w:ind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如果市场发生不利情况，</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银行有权宣布本产品不成立。客户被冻结的认购资金在产品原定成立日后的3个工作日内解冻。</w:t>
      </w:r>
    </w:p>
    <w:p w14:paraId="19685542">
      <w:pPr>
        <w:adjustRightInd w:val="0"/>
        <w:snapToGrid w:val="0"/>
        <w:spacing w:before="157" w:beforeLines="5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六</w:t>
      </w:r>
      <w:r>
        <w:rPr>
          <w:rFonts w:hint="eastAsia" w:ascii="微软雅黑" w:hAnsi="微软雅黑" w:eastAsia="微软雅黑" w:cs="微软雅黑"/>
          <w:b/>
          <w:sz w:val="20"/>
          <w:szCs w:val="20"/>
          <w:highlight w:val="none"/>
        </w:rPr>
        <w:t>、理财产品到期及提前终止</w:t>
      </w:r>
    </w:p>
    <w:p w14:paraId="6DB55FA0">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（一）产品到期</w:t>
      </w:r>
    </w:p>
    <w:p w14:paraId="7A631985">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1.本理财产品到期日为2027年5月12日（以实际到期日为准），如有调整将至少提前2个工作日根据约定方式进行信息披露。</w:t>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p>
    <w:p w14:paraId="3BA53D17">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2.客户持有本理财产品到期时，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银行不承诺保证本金，客户在到期日的应得资金随投资盈亏水平浮动。</w:t>
      </w:r>
    </w:p>
    <w:p w14:paraId="0121AB0E">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3.理财产品到期时，如理财产品项下财产全部变现，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银行在产品到期日后</w:t>
      </w:r>
      <w:r>
        <w:rPr>
          <w:rFonts w:hint="default" w:ascii="微软雅黑" w:hAnsi="微软雅黑" w:eastAsia="微软雅黑" w:cs="微软雅黑"/>
          <w:sz w:val="20"/>
          <w:szCs w:val="20"/>
          <w:highlight w:val="none"/>
          <w:lang w:val="en-US"/>
        </w:rPr>
        <w:t>3</w:t>
      </w:r>
      <w:r>
        <w:rPr>
          <w:rFonts w:hint="eastAsia" w:ascii="微软雅黑" w:hAnsi="微软雅黑" w:eastAsia="微软雅黑" w:cs="微软雅黑"/>
          <w:sz w:val="20"/>
          <w:szCs w:val="20"/>
          <w:highlight w:val="none"/>
        </w:rPr>
        <w:t>个工作日内将客户应得资金划转至客户指定账户。</w:t>
      </w:r>
      <w:r>
        <w:rPr>
          <w:rFonts w:hint="eastAsia" w:ascii="微软雅黑" w:hAnsi="微软雅黑" w:eastAsia="微软雅黑" w:cs="微软雅黑"/>
          <w:sz w:val="20"/>
          <w:szCs w:val="20"/>
          <w:highlight w:val="none"/>
          <w:lang w:eastAsia="zh-CN"/>
        </w:rPr>
        <w:t>清算期超过</w:t>
      </w:r>
      <w:r>
        <w:rPr>
          <w:rFonts w:hint="default"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lang w:val="en-US" w:eastAsia="zh-CN"/>
        </w:rPr>
        <w:t>个工作日的，管理人将提前2个工作日根据约定方式进行信息披露。</w:t>
      </w:r>
      <w:r>
        <w:rPr>
          <w:rFonts w:hint="eastAsia" w:ascii="微软雅黑" w:hAnsi="微软雅黑" w:eastAsia="微软雅黑" w:cs="微软雅黑"/>
          <w:sz w:val="20"/>
          <w:szCs w:val="20"/>
          <w:highlight w:val="none"/>
        </w:rPr>
        <w:t>理财产品到期时，如产品项下部分或全部资产因客观原因暂停交易或暂时无法变现，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可将可供分配的现金资产按照理财产品投资的认购金额比例进行分配，将暂时无法变现的其他投资组合资产恢复交易或通过其他途径变现后，管理人再就该部分资产进行分配。本理财产品的到期日及投资者持有的产品期限将相应延长，具体请以</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银行公告为准。延长期内不计收益，延期清算期间不计付利息。</w:t>
      </w:r>
    </w:p>
    <w:p w14:paraId="63AD2FFF">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（二）提前终止</w:t>
      </w:r>
    </w:p>
    <w:p w14:paraId="5CF0E8D6">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本理财产品成立后，如出现但不限于如下情形，</w:t>
      </w:r>
      <w:r>
        <w:rPr>
          <w:rFonts w:hint="eastAsia" w:ascii="微软雅黑" w:hAnsi="微软雅黑" w:eastAsia="微软雅黑" w:cs="微软雅黑"/>
          <w:b/>
          <w:bCs/>
          <w:sz w:val="20"/>
          <w:szCs w:val="20"/>
          <w:highlight w:val="none"/>
          <w:lang w:eastAsia="zh-CN"/>
        </w:rPr>
        <w:t>广东华润</w:t>
      </w:r>
      <w:r>
        <w:rPr>
          <w:rFonts w:hint="eastAsia" w:ascii="微软雅黑" w:hAnsi="微软雅黑" w:eastAsia="微软雅黑" w:cs="微软雅黑"/>
          <w:b/>
          <w:bCs/>
          <w:sz w:val="20"/>
          <w:szCs w:val="20"/>
          <w:highlight w:val="none"/>
        </w:rPr>
        <w:t>银行在提前</w:t>
      </w:r>
      <w:r>
        <w:rPr>
          <w:rFonts w:hint="eastAsia" w:ascii="微软雅黑" w:hAnsi="微软雅黑" w:eastAsia="微软雅黑" w:cs="微软雅黑"/>
          <w:b/>
          <w:bCs/>
          <w:sz w:val="20"/>
          <w:szCs w:val="20"/>
          <w:highlight w:val="none"/>
          <w:lang w:val="en-US" w:eastAsia="zh-CN"/>
        </w:rPr>
        <w:t>3个工作日</w:t>
      </w:r>
      <w:r>
        <w:rPr>
          <w:rFonts w:hint="eastAsia" w:ascii="微软雅黑" w:hAnsi="微软雅黑" w:eastAsia="微软雅黑" w:cs="微软雅黑"/>
          <w:b/>
          <w:bCs/>
          <w:sz w:val="20"/>
          <w:szCs w:val="20"/>
          <w:highlight w:val="none"/>
        </w:rPr>
        <w:t>公告的情况下，有权提前全部终止或提前部分终止本产品，并对提前终止的该部分理财产品份额所对应的本金和收益（如有）进行分配。在提前终止日后3个工作日内将被分配资金划转至客户指定账户。若客户持有的该理财产品份额被冻结，被冻结的份额将不参与部分提前终止。</w:t>
      </w:r>
    </w:p>
    <w:p w14:paraId="3ABFFA8E">
      <w:pPr>
        <w:pStyle w:val="8"/>
        <w:spacing w:beforeLines="0" w:afterLines="0" w:line="320" w:lineRule="exact"/>
        <w:ind w:left="0"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1.因不可抗力因素导致本理财产品无法继续运作；</w:t>
      </w:r>
    </w:p>
    <w:p w14:paraId="207A840A">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2遇有市场剧烈波动、异常风险事件等情形导致理财产品净值出现大幅波动或严重影响理财产品的资产安全；</w:t>
      </w:r>
    </w:p>
    <w:p w14:paraId="6B9BF3A7">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3.因相关投资管理机构解散、破产、撤销、被取消业务资格等原因无法继续履行相应职责导致产品无法继续运作；</w:t>
      </w:r>
    </w:p>
    <w:p w14:paraId="54C49F1C">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4.因法律法规变化或国家金融政策调整、紧急措施出台影响产品继续正常运作；</w:t>
      </w:r>
    </w:p>
    <w:p w14:paraId="60EB96A8">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5.因理财产品投资的资产提前到期或部分提前到期，进而影响到产品收益，为最大限度保护投资者利益，</w:t>
      </w:r>
      <w:r>
        <w:rPr>
          <w:rFonts w:hint="eastAsia" w:ascii="微软雅黑" w:hAnsi="微软雅黑" w:eastAsia="微软雅黑" w:cs="微软雅黑"/>
          <w:b/>
          <w:bCs/>
          <w:sz w:val="20"/>
          <w:szCs w:val="20"/>
          <w:highlight w:val="none"/>
          <w:lang w:eastAsia="zh-CN"/>
        </w:rPr>
        <w:t>广东华润</w:t>
      </w:r>
      <w:r>
        <w:rPr>
          <w:rFonts w:hint="eastAsia" w:ascii="微软雅黑" w:hAnsi="微软雅黑" w:eastAsia="微软雅黑" w:cs="微软雅黑"/>
          <w:b/>
          <w:bCs/>
          <w:sz w:val="20"/>
          <w:szCs w:val="20"/>
          <w:highlight w:val="none"/>
        </w:rPr>
        <w:t>银行经合理判断提前全部终止或提前部分终止的情形；</w:t>
      </w:r>
    </w:p>
    <w:p w14:paraId="50247E2B">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6.法律法规规定或监管部门认定的其他情形。</w:t>
      </w:r>
    </w:p>
    <w:p w14:paraId="572CA045">
      <w:pPr>
        <w:numPr>
          <w:ilvl w:val="-1"/>
          <w:numId w:val="0"/>
        </w:numPr>
        <w:autoSpaceDE/>
        <w:autoSpaceDN/>
        <w:adjustRightInd w:val="0"/>
        <w:snapToGrid w:val="0"/>
        <w:spacing w:before="157" w:beforeLines="50" w:after="0" w:afterLines="0" w:line="320" w:lineRule="exact"/>
        <w:ind w:left="0" w:firstLine="400" w:firstLineChars="200"/>
        <w:rPr>
          <w:rFonts w:hint="eastAsia" w:ascii="微软雅黑" w:hAnsi="微软雅黑" w:eastAsia="微软雅黑" w:cs="微软雅黑"/>
          <w:b/>
          <w:sz w:val="20"/>
          <w:szCs w:val="20"/>
          <w:highlight w:val="none"/>
          <w:lang w:val="en-US" w:eastAsia="zh-CN"/>
        </w:rPr>
      </w:pPr>
      <w:r>
        <w:rPr>
          <w:rFonts w:hint="eastAsia" w:ascii="微软雅黑" w:hAnsi="微软雅黑" w:eastAsia="微软雅黑" w:cs="微软雅黑"/>
          <w:b/>
          <w:sz w:val="20"/>
          <w:szCs w:val="20"/>
          <w:highlight w:val="none"/>
          <w:lang w:val="en-US" w:eastAsia="zh-CN"/>
        </w:rPr>
        <w:t>七、费用</w:t>
      </w:r>
    </w:p>
    <w:p w14:paraId="337B8614">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pacing w:val="0"/>
          <w:sz w:val="20"/>
          <w:szCs w:val="20"/>
          <w:highlight w:val="none"/>
          <w:lang w:val="en-US" w:eastAsia="zh-CN"/>
        </w:rPr>
        <w:t>本理财产品收取费用包括固定管理费、销售手续费、托管费、运营服务费、浮动管理费（若有）、其他费用等相关费用。</w:t>
      </w:r>
    </w:p>
    <w:p w14:paraId="10F73E97">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（一）固定管理费。收取的固定管理费率（年化）为0.10%。每日计算公式为：当日产品存续份额×固定管理费率÷365，小数点后两位四舍五入。</w:t>
      </w:r>
    </w:p>
    <w:p w14:paraId="186D7BA9">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（二）销售手续费。收取的销售手续费率（年化）为0.25%。每日计算公式为：当日产品存续份额×销售手续费率÷365，小数点后两位四舍五入。</w:t>
      </w:r>
    </w:p>
    <w:p w14:paraId="0B93B1BF">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（三）托管费。收取的托管费率（年化）为0.008%。每日计算公式为：当日产品存续份额×托管费率÷365，小数点后两位四舍五入。</w:t>
      </w:r>
    </w:p>
    <w:p w14:paraId="3C026A62">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（四）运营服务费。收取的运营服务费率（年化）为0.005%。每日计算公式为：当日产品存续份额×运营服务费率÷365，小数点后两位四舍五入。</w:t>
      </w:r>
    </w:p>
    <w:p w14:paraId="012463BD">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五）浮动管理费。投资者持有的产品份额赎回/到期/终止时，产品份额持有期间的年化收益率超过业绩比较基准区间的上限，则超过部分作为管理人的浮动管理费（未超过业绩比较基准区间的上限时，管理人不计提浮动管理费）。投资者持有的产品份额赎回/到期/终止时，产品份额持有期间的年化收益率未达到业绩比较基准下限，广东华润银行有权选择是否启用回拨机制，即以已计提的固定管理费和销售手续费为上限对投资者进行回拨，回拨后产品份额持有期间的年化收益率不超过业绩比较基准下限。</w:t>
      </w:r>
    </w:p>
    <w:p w14:paraId="36135C96">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（六）手续费。本理财产品认购手续费、申购手续费、赎回手续费均为0.00%。</w:t>
      </w:r>
    </w:p>
    <w:p w14:paraId="23968174">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七）其他费用。1.投资账户开立及维护费、交易手续费、资金汇划费、清算费等；2.产品成立后与产品相关的会计师费、审计费、诉讼（仲裁）费、律师费、信息披露费、公证费、执行费用等；3.增值税及附加税费等；4.其他按照国家有关规定可以列入的费用。</w:t>
      </w:r>
    </w:p>
    <w:p w14:paraId="1ACF339C">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（八）费用按本《产品说明书》及管理人与费用收取方之间的协议约定从理财产品资产中支付。</w:t>
      </w:r>
    </w:p>
    <w:p w14:paraId="6331AD15">
      <w:pPr>
        <w:numPr>
          <w:ilvl w:val="-1"/>
          <w:numId w:val="0"/>
        </w:numPr>
        <w:adjustRightInd w:val="0"/>
        <w:snapToGrid w:val="0"/>
        <w:spacing w:before="157" w:beforeLines="50" w:after="0" w:afterLines="0" w:line="320" w:lineRule="exact"/>
        <w:ind w:left="0" w:firstLine="400" w:firstLineChars="200"/>
        <w:jc w:val="left"/>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八</w:t>
      </w:r>
      <w:r>
        <w:rPr>
          <w:rFonts w:hint="eastAsia" w:ascii="微软雅黑" w:hAnsi="微软雅黑" w:eastAsia="微软雅黑" w:cs="微软雅黑"/>
          <w:b/>
          <w:sz w:val="20"/>
          <w:szCs w:val="20"/>
          <w:highlight w:val="none"/>
        </w:rPr>
        <w:t>、理财产品收益测算</w:t>
      </w:r>
    </w:p>
    <w:p w14:paraId="3CFA88BB">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1.收益测算依据</w:t>
      </w:r>
    </w:p>
    <w:p w14:paraId="68E79983">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投资者实际收益=投资者应得资金-投资者认购/申购金额+投资者分红收益（若有）</w:t>
      </w:r>
    </w:p>
    <w:p w14:paraId="43AD5CEB">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其中，投资者应得资金=投资者持有产品份额×</w:t>
      </w:r>
      <w:r>
        <w:rPr>
          <w:rFonts w:hint="eastAsia" w:ascii="微软雅黑" w:hAnsi="微软雅黑" w:eastAsia="微软雅黑" w:cs="微软雅黑"/>
          <w:sz w:val="20"/>
          <w:szCs w:val="20"/>
          <w:highlight w:val="none"/>
          <w:lang w:val="en-US" w:eastAsia="zh-CN"/>
        </w:rPr>
        <w:t>到期日前一自然日产品净值</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eastAsia="zh-CN"/>
        </w:rPr>
        <w:t>浮动管理费</w:t>
      </w:r>
      <w:r>
        <w:rPr>
          <w:rFonts w:hint="eastAsia" w:ascii="微软雅黑" w:hAnsi="微软雅黑" w:eastAsia="微软雅黑" w:cs="微软雅黑"/>
          <w:sz w:val="20"/>
          <w:szCs w:val="20"/>
          <w:highlight w:val="none"/>
        </w:rPr>
        <w:t>（若有）-税费（若有）</w:t>
      </w:r>
    </w:p>
    <w:p w14:paraId="2F7DB129">
      <w:pPr>
        <w:spacing w:before="0" w:beforeLines="0" w:afterLines="0" w:line="320" w:lineRule="exact"/>
        <w:ind w:left="0" w:right="0" w:firstLine="418"/>
        <w:rPr>
          <w:rFonts w:hint="default" w:ascii="微软雅黑" w:hAnsi="微软雅黑" w:eastAsia="微软雅黑" w:cs="微软雅黑"/>
          <w:spacing w:val="6"/>
          <w:sz w:val="20"/>
          <w:szCs w:val="20"/>
          <w:lang w:val="en-US" w:eastAsia="zh-CN"/>
        </w:rPr>
      </w:pPr>
      <w:r>
        <w:rPr>
          <w:rFonts w:hint="eastAsia" w:ascii="微软雅黑" w:hAnsi="微软雅黑" w:eastAsia="微软雅黑" w:cs="微软雅黑"/>
          <w:spacing w:val="6"/>
          <w:sz w:val="20"/>
          <w:szCs w:val="20"/>
          <w:lang w:val="en-US" w:eastAsia="zh-CN"/>
        </w:rPr>
        <w:t>2.情景分析</w:t>
      </w:r>
    </w:p>
    <w:p w14:paraId="7B480EE0">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假设本理财产品期限360天，业绩比较基准</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4.0%，4.5</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。产品到期后，客户可获得总收益可能存在如下情景：</w:t>
      </w:r>
    </w:p>
    <w:p w14:paraId="514EC182">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情景一：扣除产品各项费用（包括不限于托管费、运营服务费、销售手续费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超过业绩比较基准。</w:t>
      </w:r>
    </w:p>
    <w:p w14:paraId="49ABA30D">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假设客户投资5万元，购买时产品净值为1.00000000元，份额</w:t>
      </w:r>
      <w:r>
        <w:rPr>
          <w:rFonts w:hint="eastAsia" w:ascii="微软雅黑" w:hAnsi="微软雅黑" w:eastAsia="微软雅黑" w:cs="微软雅黑"/>
          <w:sz w:val="20"/>
          <w:szCs w:val="20"/>
          <w:highlight w:val="none"/>
          <w:lang w:eastAsia="zh-CN"/>
        </w:rPr>
        <w:t>确认</w:t>
      </w:r>
      <w:r>
        <w:rPr>
          <w:rFonts w:hint="eastAsia" w:ascii="微软雅黑" w:hAnsi="微软雅黑" w:eastAsia="微软雅黑" w:cs="微软雅黑"/>
          <w:sz w:val="20"/>
          <w:szCs w:val="20"/>
          <w:highlight w:val="none"/>
        </w:rPr>
        <w:t>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w:t>
      </w:r>
    </w:p>
    <w:p w14:paraId="582C604E">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4.56</w:t>
      </w:r>
      <w:r>
        <w:rPr>
          <w:rFonts w:hint="eastAsia" w:ascii="微软雅黑" w:hAnsi="微软雅黑" w:eastAsia="微软雅黑" w:cs="微软雅黑"/>
          <w:sz w:val="20"/>
          <w:szCs w:val="20"/>
          <w:highlight w:val="none"/>
        </w:rPr>
        <w:t>%&gt;</w:t>
      </w:r>
      <w:r>
        <w:rPr>
          <w:rFonts w:hint="eastAsia" w:ascii="微软雅黑" w:hAnsi="微软雅黑" w:eastAsia="微软雅黑" w:cs="微软雅黑"/>
          <w:sz w:val="20"/>
          <w:szCs w:val="20"/>
          <w:highlight w:val="none"/>
          <w:lang w:val="en-US" w:eastAsia="zh-CN"/>
        </w:rPr>
        <w:t>4.5</w:t>
      </w:r>
      <w:r>
        <w:rPr>
          <w:rFonts w:hint="eastAsia" w:ascii="微软雅黑" w:hAnsi="微软雅黑" w:eastAsia="微软雅黑" w:cs="微软雅黑"/>
          <w:sz w:val="20"/>
          <w:szCs w:val="20"/>
          <w:highlight w:val="none"/>
        </w:rPr>
        <w:t>%，即投资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超过业绩比较基准</w:t>
      </w:r>
      <w:r>
        <w:rPr>
          <w:rFonts w:hint="eastAsia" w:ascii="微软雅黑" w:hAnsi="微软雅黑" w:eastAsia="微软雅黑" w:cs="微软雅黑"/>
          <w:sz w:val="20"/>
          <w:szCs w:val="20"/>
          <w:highlight w:val="none"/>
          <w:lang w:eastAsia="zh-CN"/>
        </w:rPr>
        <w:t>上限</w:t>
      </w:r>
      <w:r>
        <w:rPr>
          <w:rFonts w:hint="eastAsia" w:ascii="微软雅黑" w:hAnsi="微软雅黑" w:eastAsia="微软雅黑" w:cs="微软雅黑"/>
          <w:sz w:val="20"/>
          <w:szCs w:val="20"/>
          <w:highlight w:val="none"/>
        </w:rPr>
        <w:t>。假设超过的部分作为管理人的</w:t>
      </w:r>
      <w:r>
        <w:rPr>
          <w:rFonts w:hint="eastAsia" w:ascii="微软雅黑" w:hAnsi="微软雅黑" w:eastAsia="微软雅黑" w:cs="微软雅黑"/>
          <w:sz w:val="20"/>
          <w:szCs w:val="20"/>
          <w:highlight w:val="none"/>
          <w:lang w:eastAsia="zh-CN"/>
        </w:rPr>
        <w:t>浮动管理费，</w:t>
      </w:r>
    </w:p>
    <w:p w14:paraId="0E9F3263">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管理人收取的浮动管理费：</w:t>
      </w:r>
      <w:r>
        <w:rPr>
          <w:rFonts w:hint="eastAsia" w:ascii="微软雅黑" w:hAnsi="微软雅黑" w:eastAsia="微软雅黑" w:cs="微软雅黑"/>
          <w:sz w:val="20"/>
          <w:szCs w:val="20"/>
          <w:highlight w:val="none"/>
        </w:rPr>
        <w:t>50,000.00×[1.0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0000-1.00000000×(1+</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0%×360/365)]=</w:t>
      </w:r>
      <w:r>
        <w:rPr>
          <w:rFonts w:hint="eastAsia" w:ascii="微软雅黑" w:hAnsi="微软雅黑" w:eastAsia="微软雅黑" w:cs="微软雅黑"/>
          <w:sz w:val="20"/>
          <w:szCs w:val="20"/>
          <w:highlight w:val="none"/>
          <w:lang w:val="en-US" w:eastAsia="zh-CN"/>
        </w:rPr>
        <w:t>30.82</w:t>
      </w:r>
      <w:r>
        <w:rPr>
          <w:rFonts w:hint="eastAsia" w:ascii="微软雅黑" w:hAnsi="微软雅黑" w:eastAsia="微软雅黑" w:cs="微软雅黑"/>
          <w:sz w:val="20"/>
          <w:szCs w:val="20"/>
          <w:highlight w:val="none"/>
        </w:rPr>
        <w:t>（元）</w:t>
      </w:r>
    </w:p>
    <w:p w14:paraId="3ED0C702">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val="en-US" w:eastAsia="zh-CN"/>
        </w:rPr>
        <w:t>(</w:t>
      </w:r>
      <w:r>
        <w:rPr>
          <w:rFonts w:hint="eastAsia" w:ascii="微软雅黑" w:hAnsi="微软雅黑" w:eastAsia="微软雅黑" w:cs="微软雅黑"/>
          <w:sz w:val="20"/>
          <w:szCs w:val="20"/>
          <w:highlight w:val="none"/>
        </w:rPr>
        <w:t>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val="en-US" w:eastAsia="zh-CN"/>
        </w:rPr>
        <w:t>-1.00000000)</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30.82</w:t>
      </w:r>
      <w:r>
        <w:rPr>
          <w:rFonts w:hint="eastAsia" w:ascii="微软雅黑" w:hAnsi="微软雅黑" w:eastAsia="微软雅黑" w:cs="微软雅黑"/>
          <w:sz w:val="20"/>
          <w:szCs w:val="20"/>
          <w:highlight w:val="none"/>
        </w:rPr>
        <w:t>=2,219.18（元）。</w:t>
      </w:r>
    </w:p>
    <w:p w14:paraId="1496019E">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情景二：扣除产品各项费用（包括不限于托管费、运营服务费、销售手续费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eastAsia="zh-CN"/>
        </w:rPr>
        <w:t>上限。</w:t>
      </w:r>
    </w:p>
    <w:p w14:paraId="155CBFCA">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客户投资5万元，购买时产品净值为1.00000000元，折算份额为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w:t>
      </w:r>
    </w:p>
    <w:p w14:paraId="38EB521E">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4.16</w:t>
      </w:r>
      <w:r>
        <w:rPr>
          <w:rFonts w:hint="eastAsia" w:ascii="微软雅黑" w:hAnsi="微软雅黑" w:eastAsia="微软雅黑" w:cs="微软雅黑"/>
          <w:sz w:val="20"/>
          <w:szCs w:val="20"/>
          <w:highlight w:val="none"/>
        </w:rPr>
        <w:t>%&lt;</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0%，即投资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eastAsia="zh-CN"/>
        </w:rPr>
        <w:t>上限</w:t>
      </w:r>
      <w:r>
        <w:rPr>
          <w:rFonts w:hint="eastAsia" w:ascii="微软雅黑" w:hAnsi="微软雅黑" w:eastAsia="微软雅黑" w:cs="微软雅黑"/>
          <w:sz w:val="20"/>
          <w:szCs w:val="20"/>
          <w:highlight w:val="none"/>
        </w:rPr>
        <w:t>，此时，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银行不收取</w:t>
      </w:r>
      <w:r>
        <w:rPr>
          <w:rFonts w:hint="eastAsia" w:ascii="微软雅黑" w:hAnsi="微软雅黑" w:eastAsia="微软雅黑" w:cs="微软雅黑"/>
          <w:sz w:val="20"/>
          <w:szCs w:val="20"/>
          <w:highlight w:val="none"/>
          <w:lang w:eastAsia="zh-CN"/>
        </w:rPr>
        <w:t>浮动管理费。</w:t>
      </w:r>
    </w:p>
    <w:p w14:paraId="12634FC1">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val="en-US" w:eastAsia="zh-CN"/>
        </w:rPr>
        <w:t>(</w:t>
      </w:r>
      <w:r>
        <w:rPr>
          <w:rFonts w:hint="eastAsia" w:ascii="微软雅黑" w:hAnsi="微软雅黑" w:eastAsia="微软雅黑" w:cs="微软雅黑"/>
          <w:sz w:val="20"/>
          <w:szCs w:val="20"/>
          <w:highlight w:val="none"/>
        </w:rPr>
        <w:t>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val="en-US" w:eastAsia="zh-CN"/>
        </w:rPr>
        <w:t>-1.00000000)</w:t>
      </w:r>
      <w:r>
        <w:rPr>
          <w:rFonts w:hint="eastAsia" w:ascii="微软雅黑" w:hAnsi="微软雅黑" w:eastAsia="微软雅黑" w:cs="微软雅黑"/>
          <w:sz w:val="20"/>
          <w:szCs w:val="20"/>
          <w:highlight w:val="none"/>
        </w:rPr>
        <w:t>=2,050.00</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元）。</w:t>
      </w:r>
    </w:p>
    <w:p w14:paraId="6FBB43CF">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eastAsia="zh-CN"/>
        </w:rPr>
        <w:t>情景三：</w:t>
      </w:r>
      <w:r>
        <w:rPr>
          <w:rFonts w:hint="eastAsia" w:ascii="微软雅黑" w:hAnsi="微软雅黑" w:eastAsia="微软雅黑" w:cs="微软雅黑"/>
          <w:sz w:val="20"/>
          <w:szCs w:val="20"/>
          <w:highlight w:val="none"/>
        </w:rPr>
        <w:t>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w:t>
      </w:r>
      <w:r>
        <w:rPr>
          <w:rFonts w:hint="eastAsia" w:ascii="微软雅黑" w:hAnsi="微软雅黑" w:eastAsia="微软雅黑" w:cs="微软雅黑"/>
          <w:sz w:val="20"/>
          <w:szCs w:val="20"/>
          <w:highlight w:val="none"/>
          <w:lang w:eastAsia="zh-CN"/>
        </w:rPr>
        <w:t>，投资表现低于业绩比较基准下限，</w:t>
      </w:r>
      <w:r>
        <w:rPr>
          <w:rFonts w:hint="eastAsia" w:ascii="微软雅黑" w:hAnsi="微软雅黑" w:eastAsia="微软雅黑" w:cs="微软雅黑"/>
          <w:sz w:val="20"/>
          <w:szCs w:val="20"/>
          <w:highlight w:val="none"/>
          <w:lang w:val="en-US" w:eastAsia="zh-CN"/>
        </w:rPr>
        <w:t>广东华润银行</w:t>
      </w:r>
      <w:r>
        <w:rPr>
          <w:rFonts w:hint="eastAsia" w:ascii="微软雅黑" w:hAnsi="微软雅黑" w:eastAsia="微软雅黑" w:cs="微软雅黑"/>
          <w:sz w:val="20"/>
          <w:szCs w:val="20"/>
          <w:highlight w:val="none"/>
          <w:lang w:eastAsia="zh-CN"/>
        </w:rPr>
        <w:t>有权选择是否启用回拨机制</w:t>
      </w:r>
      <w:r>
        <w:rPr>
          <w:rFonts w:hint="eastAsia" w:ascii="微软雅黑" w:hAnsi="微软雅黑" w:eastAsia="微软雅黑" w:cs="微软雅黑"/>
          <w:sz w:val="20"/>
          <w:szCs w:val="20"/>
          <w:highlight w:val="none"/>
          <w:lang w:val="en-US" w:eastAsia="zh-CN"/>
        </w:rPr>
        <w:t>。</w:t>
      </w:r>
    </w:p>
    <w:p w14:paraId="022ED09A">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假设客户投资5万元，购买时产品净值为1.00000000元，折算份额为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350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eastAsia="zh-CN"/>
        </w:rPr>
        <w:t>，</w:t>
      </w:r>
    </w:p>
    <w:p w14:paraId="21217A25">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350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3.55</w:t>
      </w:r>
      <w:r>
        <w:rPr>
          <w:rFonts w:hint="eastAsia" w:ascii="微软雅黑" w:hAnsi="微软雅黑" w:eastAsia="微软雅黑" w:cs="微软雅黑"/>
          <w:sz w:val="20"/>
          <w:szCs w:val="20"/>
          <w:highlight w:val="none"/>
        </w:rPr>
        <w:t>%&lt;</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0</w:t>
      </w:r>
      <w:r>
        <w:rPr>
          <w:rFonts w:hint="eastAsia" w:ascii="微软雅黑" w:hAnsi="微软雅黑" w:eastAsia="微软雅黑" w:cs="微软雅黑"/>
          <w:sz w:val="20"/>
          <w:szCs w:val="20"/>
          <w:highlight w:val="none"/>
        </w:rPr>
        <w:t>0%，即投资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val="en-US" w:eastAsia="zh-CN"/>
        </w:rPr>
        <w:t>下</w:t>
      </w:r>
      <w:r>
        <w:rPr>
          <w:rFonts w:hint="eastAsia" w:ascii="微软雅黑" w:hAnsi="微软雅黑" w:eastAsia="微软雅黑" w:cs="微软雅黑"/>
          <w:sz w:val="20"/>
          <w:szCs w:val="20"/>
          <w:highlight w:val="none"/>
          <w:lang w:eastAsia="zh-CN"/>
        </w:rPr>
        <w:t>限</w:t>
      </w:r>
      <w:r>
        <w:rPr>
          <w:rFonts w:hint="eastAsia" w:ascii="微软雅黑" w:hAnsi="微软雅黑" w:eastAsia="微软雅黑" w:cs="微软雅黑"/>
          <w:sz w:val="20"/>
          <w:szCs w:val="20"/>
          <w:highlight w:val="none"/>
        </w:rPr>
        <w:t>，如</w:t>
      </w:r>
      <w:r>
        <w:rPr>
          <w:rFonts w:hint="eastAsia" w:ascii="微软雅黑" w:hAnsi="微软雅黑" w:eastAsia="微软雅黑" w:cs="微软雅黑"/>
          <w:sz w:val="20"/>
          <w:szCs w:val="20"/>
          <w:highlight w:val="none"/>
          <w:lang w:val="en-US" w:eastAsia="zh-CN"/>
        </w:rPr>
        <w:t>广东华润银行</w:t>
      </w:r>
      <w:r>
        <w:rPr>
          <w:rFonts w:hint="eastAsia" w:ascii="微软雅黑" w:hAnsi="微软雅黑" w:eastAsia="微软雅黑" w:cs="微软雅黑"/>
          <w:sz w:val="20"/>
          <w:szCs w:val="20"/>
          <w:highlight w:val="none"/>
        </w:rPr>
        <w:t>选择启用回拨机制，以已计提的</w:t>
      </w:r>
      <w:r>
        <w:rPr>
          <w:rFonts w:hint="eastAsia" w:ascii="微软雅黑" w:hAnsi="微软雅黑" w:eastAsia="微软雅黑" w:cs="微软雅黑"/>
          <w:sz w:val="20"/>
          <w:szCs w:val="20"/>
          <w:highlight w:val="none"/>
          <w:lang w:val="en-US" w:eastAsia="zh-CN"/>
        </w:rPr>
        <w:t>固定</w:t>
      </w:r>
      <w:r>
        <w:rPr>
          <w:rFonts w:hint="eastAsia" w:ascii="微软雅黑" w:hAnsi="微软雅黑" w:eastAsia="微软雅黑" w:cs="微软雅黑"/>
          <w:sz w:val="20"/>
          <w:szCs w:val="20"/>
          <w:highlight w:val="none"/>
        </w:rPr>
        <w:t>管理费和销售手续费为限对投资者进行回拨，不超过业绩比较基准下限</w:t>
      </w:r>
      <w:r>
        <w:rPr>
          <w:rFonts w:hint="eastAsia" w:ascii="微软雅黑" w:hAnsi="微软雅黑" w:eastAsia="微软雅黑" w:cs="微软雅黑"/>
          <w:sz w:val="20"/>
          <w:szCs w:val="20"/>
          <w:highlight w:val="none"/>
          <w:lang w:eastAsia="zh-CN"/>
        </w:rPr>
        <w:t>。</w:t>
      </w:r>
    </w:p>
    <w:p w14:paraId="2E269C96">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最大回拨金额=50,000.00*（4.00%-3.55%）*360/365=221.92</w:t>
      </w:r>
    </w:p>
    <w:p w14:paraId="4A87A2DB">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1.03500000-1.00000000）+221.92=1,971.92（元）</w:t>
      </w:r>
    </w:p>
    <w:p w14:paraId="304340E1">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（以上情景均采用假设数据计算，仅为举例之用，不作为最终收益的计算依据。测算收益不等于实际收益，亦不构成</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银行对本理财产品的任何收益承诺，投资须谨慎。）</w:t>
      </w:r>
    </w:p>
    <w:p w14:paraId="248452C5">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3.分红规则</w:t>
      </w:r>
    </w:p>
    <w:p w14:paraId="0B9D4E20">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（1）本产品存续期间不分红。</w:t>
      </w:r>
    </w:p>
    <w:p w14:paraId="1FDE3FFC">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（2）管理人有权根据产品实际运作情况，对本产品的分红规则进行调整，如有相应调整，将于调整前3个工作日进行信息披露。</w:t>
      </w:r>
    </w:p>
    <w:p w14:paraId="5C6EDC55">
      <w:pPr>
        <w:adjustRightInd w:val="0"/>
        <w:snapToGrid w:val="0"/>
        <w:spacing w:before="157" w:beforeLines="5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九</w:t>
      </w:r>
      <w:r>
        <w:rPr>
          <w:rFonts w:hint="eastAsia" w:ascii="微软雅黑" w:hAnsi="微软雅黑" w:eastAsia="微软雅黑" w:cs="微软雅黑"/>
          <w:b/>
          <w:sz w:val="20"/>
          <w:szCs w:val="20"/>
          <w:highlight w:val="none"/>
        </w:rPr>
        <w:t>、理财产品估值</w:t>
      </w:r>
    </w:p>
    <w:p w14:paraId="39775A21">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（一）估值日</w:t>
      </w:r>
    </w:p>
    <w:p w14:paraId="2333D35D">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本理财产品存续期内每周三以及理财产品终止日前一自然日为估值日，如周三为非工作日，则估值日顺延至下一个工作日。管理人于估值日后3个工作日内公布该估值。</w:t>
      </w:r>
    </w:p>
    <w:p w14:paraId="28D4131B">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（二）估值对象</w:t>
      </w:r>
    </w:p>
    <w:p w14:paraId="0E1E31FC">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本理财产品所拥有的各类资产及负债。</w:t>
      </w:r>
    </w:p>
    <w:p w14:paraId="3EF5F3C1">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（三）估值方法</w:t>
      </w:r>
    </w:p>
    <w:p w14:paraId="19ACEC8D">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本理财产品所投资各类资产原则上按照公允价值估值，具体估值方法如下：</w:t>
      </w:r>
    </w:p>
    <w:p w14:paraId="6A9735A3">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1.货币市场工具类</w:t>
      </w:r>
    </w:p>
    <w:p w14:paraId="5E243D0A">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（1）存款、拆借、</w:t>
      </w:r>
      <w:r>
        <w:rPr>
          <w:rFonts w:hint="eastAsia" w:ascii="微软雅黑" w:hAnsi="微软雅黑" w:eastAsia="微软雅黑" w:cs="微软雅黑"/>
          <w:sz w:val="20"/>
          <w:szCs w:val="20"/>
          <w:highlight w:val="none"/>
          <w:lang w:eastAsia="zh-CN"/>
        </w:rPr>
        <w:t>债券</w:t>
      </w:r>
      <w:r>
        <w:rPr>
          <w:rFonts w:hint="eastAsia" w:ascii="微软雅黑" w:hAnsi="微软雅黑" w:eastAsia="微软雅黑" w:cs="微软雅黑"/>
          <w:sz w:val="20"/>
          <w:szCs w:val="20"/>
          <w:highlight w:val="none"/>
        </w:rPr>
        <w:t>回购等以本金列示，逐日计提利息；</w:t>
      </w:r>
    </w:p>
    <w:p w14:paraId="02635FB9">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（2）货币基金以当日基金净值估值。</w:t>
      </w:r>
    </w:p>
    <w:p w14:paraId="1C344D56">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2.本理财产品直接持有的标准化债权类资产</w:t>
      </w:r>
    </w:p>
    <w:p w14:paraId="6E5D4BE0">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（1）原则上以公允价值计量，可选取第三方估值机构（中债、中证等）提供的估值价格、收盘价、或其他估值技术确定公允价值</w:t>
      </w:r>
      <w:r>
        <w:rPr>
          <w:rFonts w:hint="eastAsia" w:ascii="微软雅黑" w:hAnsi="微软雅黑" w:eastAsia="微软雅黑" w:cs="微软雅黑"/>
          <w:sz w:val="20"/>
          <w:szCs w:val="20"/>
          <w:highlight w:val="none"/>
          <w:lang w:eastAsia="zh-CN"/>
        </w:rPr>
        <w:t>；</w:t>
      </w:r>
    </w:p>
    <w:p w14:paraId="5ADDD793">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（2）以收取合同现金流量为目的并持有到期为目的，按照企业会计准则要求，以摊余成本法估值</w:t>
      </w:r>
      <w:r>
        <w:rPr>
          <w:rFonts w:hint="eastAsia" w:ascii="微软雅黑" w:hAnsi="微软雅黑" w:eastAsia="微软雅黑" w:cs="微软雅黑"/>
          <w:sz w:val="20"/>
          <w:szCs w:val="20"/>
          <w:highlight w:val="none"/>
          <w:lang w:eastAsia="zh-CN"/>
        </w:rPr>
        <w:t>。</w:t>
      </w:r>
    </w:p>
    <w:p w14:paraId="66F89C78">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3.本理财产品投资于信托计划、资产管理计划等的资产</w:t>
      </w:r>
    </w:p>
    <w:p w14:paraId="75CDE1D0">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（1）按合同约定的估值方案，以信托计划的受托人、资产管理计划的管理人等和资产托管人共同确认的净值或投资收益情况进行估值；</w:t>
      </w:r>
    </w:p>
    <w:p w14:paraId="71FA207E">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（2）对于无活跃交易的</w:t>
      </w:r>
      <w:r>
        <w:rPr>
          <w:rFonts w:hint="eastAsia" w:ascii="微软雅黑" w:hAnsi="微软雅黑" w:eastAsia="微软雅黑" w:cs="微软雅黑"/>
          <w:sz w:val="20"/>
          <w:szCs w:val="20"/>
          <w:highlight w:val="none"/>
          <w:lang w:val="en-US" w:eastAsia="zh-CN"/>
        </w:rPr>
        <w:t>资产，如</w:t>
      </w:r>
      <w:r>
        <w:rPr>
          <w:rFonts w:hint="eastAsia" w:ascii="微软雅黑" w:hAnsi="微软雅黑" w:eastAsia="微软雅黑" w:cs="微软雅黑"/>
          <w:sz w:val="20"/>
          <w:szCs w:val="20"/>
          <w:highlight w:val="none"/>
        </w:rPr>
        <w:t>非标准化债权资产等，按</w:t>
      </w:r>
      <w:r>
        <w:rPr>
          <w:rFonts w:hint="eastAsia" w:ascii="微软雅黑" w:hAnsi="微软雅黑" w:eastAsia="微软雅黑" w:cs="微软雅黑"/>
          <w:sz w:val="20"/>
          <w:szCs w:val="20"/>
          <w:highlight w:val="none"/>
          <w:lang w:eastAsia="zh-CN"/>
        </w:rPr>
        <w:t>估值技术确定</w:t>
      </w:r>
      <w:r>
        <w:rPr>
          <w:rFonts w:hint="eastAsia" w:ascii="微软雅黑" w:hAnsi="微软雅黑" w:eastAsia="微软雅黑" w:cs="微软雅黑"/>
          <w:sz w:val="20"/>
          <w:szCs w:val="20"/>
          <w:highlight w:val="none"/>
        </w:rPr>
        <w:t>。</w:t>
      </w:r>
    </w:p>
    <w:p w14:paraId="0C908B80">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4.投资证券投资基金的估值方法</w:t>
      </w:r>
    </w:p>
    <w:p w14:paraId="323C0E5E">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（1）对于交易所上市的ETF基金、定期开放式基金、封闭式基金、公开募集基础设施证券投资基金，按其所在证券交易所的收盘价估值。</w:t>
      </w:r>
    </w:p>
    <w:p w14:paraId="304F82DC">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（2）对于交易所上市的开放式基金（LOF），按所投资基金的基金管理人披露的估值日份额净值进行估值。</w:t>
      </w:r>
    </w:p>
    <w:p w14:paraId="53166671">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（3）对于未在交易所上市的场外基金，按估值日的基金份额净值估值</w:t>
      </w:r>
    </w:p>
    <w:p w14:paraId="6270DC00">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.其他资产类估值</w:t>
      </w:r>
    </w:p>
    <w:p w14:paraId="2A8DE191">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其他资产存在并可以确定公允价值的，以公允价值计算，公允价值不能确定的按估值技术确定。</w:t>
      </w:r>
    </w:p>
    <w:p w14:paraId="7DCFA3DD">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rPr>
        <w:t>.国家有最新规定的，按其规定进行估值。</w:t>
      </w:r>
    </w:p>
    <w:p w14:paraId="0700B93F">
      <w:pPr>
        <w:spacing w:beforeLines="0" w:afterLines="0" w:line="320" w:lineRule="exact"/>
        <w:ind w:firstLine="200" w:firstLineChars="1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（四）本期理财产品由</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银行聘请第三方机构进行估值服务，估值服务所产生的运营服务费由理财产品财产承担。</w:t>
      </w:r>
    </w:p>
    <w:p w14:paraId="68EE27E3">
      <w:pPr>
        <w:numPr>
          <w:ilvl w:val="-1"/>
          <w:numId w:val="0"/>
        </w:numPr>
        <w:spacing w:beforeLines="0" w:afterLines="0" w:line="320" w:lineRule="exact"/>
        <w:ind w:firstLine="200" w:firstLineChars="1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lang w:eastAsia="zh-CN"/>
        </w:rPr>
        <w:t>（五）估值错误的处理</w:t>
      </w:r>
    </w:p>
    <w:p w14:paraId="77B55DDC">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本理财产品管理人和理财产品托管人将采取必要、适当、合理的措施确保本理财产品估值的准确性、及时性。</w:t>
      </w:r>
    </w:p>
    <w:p w14:paraId="1868E918">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1.估值错误处理原则</w:t>
      </w:r>
    </w:p>
    <w:p w14:paraId="405F6EA3">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由于理财产品管理人或理财产品托管人自身的过错造成估值错误，导致投资者遭受损失的，由估值错误责任方按照各自过错程度对该估值错误导致投资者遭受的直接损失给予赔偿，承担赔偿责任；</w:t>
      </w:r>
    </w:p>
    <w:p w14:paraId="2BF1F88A">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对于因技术原因引起的差错，若系因同行业现有技术水平无法预见、无法避免、无法抗拒，属不可抗力。因不可抗力原因出现差错的当事人不对投资者承担赔偿责任，但因该差错取得不当得利的投资者仍应负有返还不当得利的义务；</w:t>
      </w:r>
    </w:p>
    <w:p w14:paraId="65D8630F">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因理财产品托管人估值错误造成财产损失时，理财产品管理人应向托管人追偿。若理财产品管理人和理财产品托管人之外的第三方估值差错造成财产的损失，并拒绝进行赔偿时，理财产品由理财产品管理人负责向差错方追偿；追偿过程中产生的有关费用，应列入理财产品费用，由理财产品承担；</w:t>
      </w:r>
    </w:p>
    <w:p w14:paraId="6603A570">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当估值出现错误时，因估值错误而获得不当得利的投资者负有及时返还不当得利的义务；</w:t>
      </w:r>
    </w:p>
    <w:p w14:paraId="7133F401">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按法律法规规定的其他估值原则处理估值错误。</w:t>
      </w:r>
    </w:p>
    <w:p w14:paraId="46621269">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2.估值错误处理程序</w:t>
      </w:r>
    </w:p>
    <w:p w14:paraId="0742701F">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估值错误被发现后，理财产品管理人和理财产品托管人应当及时进行处理，处理的程序如下：</w:t>
      </w:r>
    </w:p>
    <w:p w14:paraId="0E2F4E60">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查明估值错误发生的原因，列明所有的管理人和托管人并根据估值错误发生的原因确定估值错误的责任方；</w:t>
      </w:r>
    </w:p>
    <w:p w14:paraId="6ED6FED6">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根据估值错误处理原则对因估值错误造成的损失进行评估；</w:t>
      </w:r>
    </w:p>
    <w:p w14:paraId="098FDA65">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根据理财产品管理人和理财产品托管人协商的方法，由理财产品管理人和理财产品托管人共同进行更正，由估值错误的责任方进行赔偿损失。</w:t>
      </w:r>
    </w:p>
    <w:p w14:paraId="7FE6A7A6">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3.特殊情况的处理</w:t>
      </w:r>
    </w:p>
    <w:p w14:paraId="439099F2">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理财产品管理人、理财产品托管人按照本说明书估值方法进行估值时，所造成的误差不作为估值错误处理；</w:t>
      </w:r>
    </w:p>
    <w:p w14:paraId="55010668">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由于不可抗力原因、或由于证券交易所、第三方估值机构、信托公司、基金公司等发送数据错误等非理财产品管理人和理财产品托管人原因，理财产品管理人和托管人虽然已经采取必要、适当、合理的措施进行检查，但未能发现估值错误的，由此造成的估值错误，理财产品管理人和理财产品托管人免除赔偿责任。但理财产品管理人、理财产品托管人应当积极采取必要的措施减轻或消除由此造成的影响；</w:t>
      </w:r>
    </w:p>
    <w:p w14:paraId="6C9DA3BF">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前述内容如法律法规、监管机关另有规定的，或有关会计准则发生变化等，按照国家最新规定或理财产品管理人最新约定估值。如果行业另有通行做法，理财产品管理人和理财产品托管人本着平等和保护份额持有人利益的原则进行协商。</w:t>
      </w:r>
    </w:p>
    <w:p w14:paraId="6DCCE243">
      <w:pPr>
        <w:numPr>
          <w:ilvl w:val="0"/>
          <w:numId w:val="0"/>
        </w:numPr>
        <w:spacing w:beforeLines="0" w:afterLines="0" w:line="320" w:lineRule="exact"/>
        <w:ind w:firstLine="200" w:firstLineChars="100"/>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（六）暂停估值的情形</w:t>
      </w:r>
    </w:p>
    <w:p w14:paraId="44D135D6">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1.当资产估值因不可抗力或其他情形致使本产品管理人和托管人无法准确评估资产价值时；</w:t>
      </w:r>
    </w:p>
    <w:p w14:paraId="45AFB589">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2.理财产品投资所涉及的交易市场遇法定节假日或其他原因暂停营业时；</w:t>
      </w:r>
    </w:p>
    <w:p w14:paraId="1230C877">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3.理财产品投资的其他资产产品合同约定暂停估值或无法估值的情形发生，致使理财产品无法估值时；</w:t>
      </w:r>
    </w:p>
    <w:p w14:paraId="63606E76">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4.占理财产品相当比例的投资品种的估值出现重大转变，而管理人为保障投资者的利益，已决定延迟估值；</w:t>
      </w:r>
    </w:p>
    <w:p w14:paraId="0AB7D4C3">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5.监管机构认定的其他情形或理财产品管理人、理财产品托管人有合理理由认为将影响理财产品估值的其他情形。</w:t>
      </w:r>
    </w:p>
    <w:p w14:paraId="7A29D431">
      <w:pPr>
        <w:keepNext w:val="0"/>
        <w:keepLines w:val="0"/>
        <w:pageBreakBefore w:val="0"/>
        <w:widowControl w:val="0"/>
        <w:numPr>
          <w:ilvl w:val="-1"/>
          <w:numId w:val="0"/>
        </w:numPr>
        <w:kinsoku/>
        <w:wordWrap/>
        <w:overflowPunct/>
        <w:topLinePunct w:val="0"/>
        <w:autoSpaceDE/>
        <w:autoSpaceDN/>
        <w:bidi w:val="0"/>
        <w:spacing w:line="320" w:lineRule="exact"/>
        <w:ind w:firstLine="400" w:firstLineChars="200"/>
        <w:textAlignment w:val="auto"/>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遇以上情形，管理人可暂停本产品估值直至另行通知。</w:t>
      </w:r>
    </w:p>
    <w:p w14:paraId="43E9D313">
      <w:pPr>
        <w:keepNext w:val="0"/>
        <w:keepLines w:val="0"/>
        <w:pageBreakBefore w:val="0"/>
        <w:widowControl w:val="0"/>
        <w:kinsoku/>
        <w:wordWrap/>
        <w:overflowPunct/>
        <w:topLinePunct w:val="0"/>
        <w:autoSpaceDE/>
        <w:autoSpaceDN/>
        <w:bidi w:val="0"/>
        <w:adjustRightInd w:val="0"/>
        <w:snapToGrid w:val="0"/>
        <w:spacing w:line="320" w:lineRule="exact"/>
        <w:ind w:left="0" w:right="0" w:firstLine="400" w:firstLineChars="200"/>
        <w:textAlignment w:val="auto"/>
        <w:rPr>
          <w:rFonts w:hint="default" w:ascii="微软雅黑" w:hAnsi="微软雅黑" w:eastAsia="微软雅黑" w:cs="微软雅黑"/>
          <w:b/>
          <w:bCs/>
          <w:sz w:val="20"/>
          <w:szCs w:val="20"/>
          <w:lang w:val="en-US" w:eastAsia="zh-CN"/>
        </w:rPr>
      </w:pPr>
      <w:r>
        <w:rPr>
          <w:rFonts w:hint="eastAsia" w:ascii="微软雅黑" w:hAnsi="微软雅黑" w:eastAsia="微软雅黑" w:cs="微软雅黑"/>
          <w:b/>
          <w:bCs/>
          <w:sz w:val="20"/>
          <w:szCs w:val="20"/>
          <w:lang w:val="en-US" w:eastAsia="zh-CN"/>
        </w:rPr>
        <w:t>十、风险</w:t>
      </w:r>
      <w:r>
        <w:rPr>
          <w:rFonts w:hint="eastAsia" w:ascii="微软雅黑" w:hAnsi="微软雅黑" w:eastAsia="微软雅黑" w:cs="微软雅黑"/>
          <w:b/>
          <w:bCs w:val="0"/>
          <w:sz w:val="20"/>
          <w:szCs w:val="20"/>
          <w:highlight w:val="none"/>
          <w:lang w:val="en-US" w:eastAsia="zh-CN"/>
        </w:rPr>
        <w:t>提示</w:t>
      </w:r>
    </w:p>
    <w:p w14:paraId="6CA9D06E">
      <w:pPr>
        <w:keepNext w:val="0"/>
        <w:keepLines w:val="0"/>
        <w:pageBreakBefore w:val="0"/>
        <w:widowControl w:val="0"/>
        <w:numPr>
          <w:ilvl w:val="-1"/>
          <w:numId w:val="0"/>
        </w:numPr>
        <w:kinsoku/>
        <w:wordWrap/>
        <w:overflowPunct/>
        <w:topLinePunct w:val="0"/>
        <w:autoSpaceDE/>
        <w:autoSpaceDN/>
        <w:bidi w:val="0"/>
        <w:spacing w:afterLines="0" w:line="320" w:lineRule="exact"/>
        <w:ind w:firstLine="400" w:firstLineChars="200"/>
        <w:textAlignment w:val="auto"/>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管理人对本理财产品的本金和收益不提供保证承诺，投资者的本金可能因市场变动而蒙受重大损失，投资者应充分认识投资风险，谨慎投资。</w:t>
      </w:r>
    </w:p>
    <w:p w14:paraId="41E98E7F">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本理财产品有投资风险，不保证理财本金和收益，投资者应该充分认识投资风险，谨慎投资。本理财产品面临的风险主要包括本金及理财收益风险、政策风险、信用风险、市场风险、利率风险、流动性风险、再投资风险、管理人风险、产品不成立风险、信息传递风险、操作风险、不可抗力及意外风险等，管理人将以投资者利益最大化为宗旨进行投资运作，并审慎管理本理财产品风险，但不承诺本理财产品不受损失，亦不承诺本理财产品的最低收益。本理财产品风险揭示及产品风险管理措施内容详见本理财产品《风险揭示书》，请投资者详细阅读，在充分了解并清楚知晓本理财产品蕴含风险的基础上，通过自身判断自主参与交易，并自愿承担相关风险。</w:t>
      </w:r>
    </w:p>
    <w:p w14:paraId="1434BFAF">
      <w:pPr>
        <w:adjustRightInd w:val="0"/>
        <w:snapToGrid w:val="0"/>
        <w:spacing w:before="157" w:beforeLines="50" w:after="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十一</w:t>
      </w:r>
      <w:r>
        <w:rPr>
          <w:rFonts w:hint="eastAsia" w:ascii="微软雅黑" w:hAnsi="微软雅黑" w:eastAsia="微软雅黑" w:cs="微软雅黑"/>
          <w:b/>
          <w:sz w:val="20"/>
          <w:szCs w:val="20"/>
          <w:highlight w:val="none"/>
        </w:rPr>
        <w:t>、信息披露</w:t>
      </w:r>
    </w:p>
    <w:p w14:paraId="4F918219">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银行将及时在</w:t>
      </w:r>
      <w:r>
        <w:rPr>
          <w:rFonts w:hint="eastAsia" w:ascii="微软雅黑" w:hAnsi="微软雅黑" w:eastAsia="微软雅黑" w:cs="微软雅黑"/>
          <w:sz w:val="20"/>
          <w:szCs w:val="20"/>
          <w:highlight w:val="none"/>
          <w:lang w:val="en-US" w:eastAsia="zh-CN"/>
        </w:rPr>
        <w:t>中国理财网</w:t>
      </w:r>
      <w:r>
        <w:rPr>
          <w:rFonts w:hint="eastAsia" w:ascii="微软雅黑" w:hAnsi="微软雅黑" w:eastAsia="微软雅黑" w:cs="微软雅黑"/>
          <w:sz w:val="20"/>
          <w:szCs w:val="20"/>
          <w:highlight w:val="none"/>
        </w:rPr>
        <w:t>或官方网站</w:t>
      </w:r>
      <w:r>
        <w:rPr>
          <w:rFonts w:hint="eastAsia" w:ascii="微软雅黑" w:hAnsi="微软雅黑" w:eastAsia="微软雅黑" w:cs="微软雅黑"/>
          <w:sz w:val="20"/>
          <w:szCs w:val="20"/>
          <w:highlight w:val="none"/>
          <w:lang w:val="en-US" w:eastAsia="zh-CN"/>
        </w:rPr>
        <w:t>或</w:t>
      </w:r>
      <w:r>
        <w:rPr>
          <w:rFonts w:hint="eastAsia" w:ascii="微软雅黑" w:hAnsi="微软雅黑" w:eastAsia="微软雅黑" w:cs="微软雅黑"/>
          <w:sz w:val="20"/>
          <w:szCs w:val="20"/>
          <w:highlight w:val="none"/>
        </w:rPr>
        <w:t>各营业网点或</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银行认为适当的其他渠道，发布产品的相关公告，具体公告分类如下：</w:t>
      </w:r>
    </w:p>
    <w:p w14:paraId="5A7023F2">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1.如本理财产品顺利成立，</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银行将于理财产品成立日后5个工作日内，发布“产品发行公告”。如本理财产品不能顺利成立，</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银行将于决定理财产品不成立之日后2个工作日内</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发布“产品不成立公告”。</w:t>
      </w:r>
    </w:p>
    <w:p w14:paraId="432E3A34">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2.如本理财产品顺利到期，</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银行将于理财产品到期日后5个工作日内，发布“产品到期公告”。如需提前终止本理财产品，</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银行将于提前终止日前</w:t>
      </w:r>
      <w:r>
        <w:rPr>
          <w:rFonts w:hint="eastAsia"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rPr>
        <w:t>个工作日内，发布“产品提前终止公告”。</w:t>
      </w:r>
    </w:p>
    <w:p w14:paraId="10E39539">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3.理财产品存续期间，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银行将于每周公告产品净值。</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银行将在每季度结束之日起15</w:t>
      </w:r>
      <w:r>
        <w:rPr>
          <w:rFonts w:hint="eastAsia" w:ascii="微软雅黑" w:hAnsi="微软雅黑" w:eastAsia="微软雅黑" w:cs="微软雅黑"/>
          <w:sz w:val="20"/>
          <w:szCs w:val="20"/>
          <w:highlight w:val="none"/>
          <w:lang w:val="en-US" w:eastAsia="zh-CN"/>
        </w:rPr>
        <w:t>个工作日</w:t>
      </w:r>
      <w:r>
        <w:rPr>
          <w:rFonts w:hint="eastAsia" w:ascii="微软雅黑" w:hAnsi="微软雅黑" w:eastAsia="微软雅黑" w:cs="微软雅黑"/>
          <w:sz w:val="20"/>
          <w:szCs w:val="20"/>
          <w:highlight w:val="none"/>
        </w:rPr>
        <w:t>内，披露本理财产品的季度报告，每年8月31日前披露本理财产品的半年度报告，每年4月30日前披露本理财产品上一年度的年度报告，向投资者披露产品投资状况、投资表现、风险状况等信息。</w:t>
      </w:r>
      <w:r>
        <w:rPr>
          <w:rFonts w:hint="eastAsia" w:ascii="微软雅黑" w:hAnsi="微软雅黑" w:eastAsia="微软雅黑" w:cs="微软雅黑"/>
          <w:sz w:val="20"/>
          <w:szCs w:val="20"/>
          <w:highlight w:val="none"/>
          <w:lang w:val="en-US" w:eastAsia="zh-CN"/>
        </w:rPr>
        <w:t>理财产品</w:t>
      </w:r>
      <w:r>
        <w:rPr>
          <w:rFonts w:hint="eastAsia" w:ascii="微软雅黑" w:hAnsi="微软雅黑" w:eastAsia="微软雅黑" w:cs="微软雅黑"/>
          <w:sz w:val="20"/>
          <w:szCs w:val="20"/>
          <w:highlight w:val="none"/>
        </w:rPr>
        <w:t>成立不足九十个自然日的，可以不编制当期的季度、半年和年度报告。</w:t>
      </w:r>
    </w:p>
    <w:p w14:paraId="5FC9E39F">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4.理财产品存续期间，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银行如需对《产品说明书》的相关条款（包括但不限于业绩比较基准、投资范围、估值方法、相关费用等）进行补充、说明和修改，可以提前</w:t>
      </w:r>
      <w:r>
        <w:rPr>
          <w:rFonts w:hint="eastAsia"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rPr>
        <w:t>个工作日发布公告。</w:t>
      </w:r>
    </w:p>
    <w:p w14:paraId="34B5F100">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5.理财产品存续期间，如国家宏观政策或市场发生了可能对本理财产品本金及收益造成重大影响的事件，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银行将于重大事件后的2个工作日内发布“重大事项公告”。</w:t>
      </w:r>
    </w:p>
    <w:p w14:paraId="6FFBC829">
      <w:pPr>
        <w:keepNext w:val="0"/>
        <w:keepLines w:val="0"/>
        <w:pageBreakBefore w:val="0"/>
        <w:widowControl w:val="0"/>
        <w:kinsoku/>
        <w:wordWrap/>
        <w:overflowPunct/>
        <w:topLinePunct w:val="0"/>
        <w:autoSpaceDE/>
        <w:autoSpaceDN/>
        <w:bidi w:val="0"/>
        <w:adjustRightInd/>
        <w:snapToGrid/>
        <w:spacing w:afterLines="0" w:line="320" w:lineRule="exact"/>
        <w:ind w:firstLine="400" w:firstLineChars="200"/>
        <w:textAlignment w:val="auto"/>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6.客户需要咨询本理财产品相关信息的，可到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银行各营业网点咨询，也可致电</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银行24小时客户服务热线96588（广东省外请加拨0756）或4008800338咨询。</w:t>
      </w:r>
      <w:bookmarkStart w:id="0" w:name="_Hlt97867810"/>
      <w:bookmarkEnd w:id="0"/>
      <w:r>
        <w:rPr>
          <w:rFonts w:hint="eastAsia" w:ascii="微软雅黑" w:hAnsi="微软雅黑" w:eastAsia="微软雅黑" w:cs="微软雅黑"/>
          <w:sz w:val="20"/>
          <w:szCs w:val="20"/>
          <w:highlight w:val="none"/>
          <w:lang w:val="en-US" w:eastAsia="zh-CN"/>
        </w:rPr>
        <w:t>如对本理财产品有相关建议或投诉，也可咨询我行营业网点或客服热线。</w:t>
      </w:r>
    </w:p>
    <w:p w14:paraId="4DF5E69F">
      <w:pPr>
        <w:keepNext w:val="0"/>
        <w:keepLines w:val="0"/>
        <w:pageBreakBefore w:val="0"/>
        <w:widowControl w:val="0"/>
        <w:kinsoku/>
        <w:wordWrap/>
        <w:overflowPunct/>
        <w:topLinePunct w:val="0"/>
        <w:autoSpaceDE/>
        <w:autoSpaceDN/>
        <w:bidi w:val="0"/>
        <w:adjustRightInd/>
        <w:snapToGrid/>
        <w:spacing w:afterLines="0" w:line="320" w:lineRule="exact"/>
        <w:ind w:firstLine="400" w:firstLineChars="200"/>
        <w:textAlignment w:val="auto"/>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十</w:t>
      </w:r>
      <w:r>
        <w:rPr>
          <w:rFonts w:hint="eastAsia" w:ascii="微软雅黑" w:hAnsi="微软雅黑" w:eastAsia="微软雅黑" w:cs="微软雅黑"/>
          <w:b/>
          <w:bCs/>
          <w:sz w:val="20"/>
          <w:szCs w:val="20"/>
          <w:highlight w:val="none"/>
          <w:lang w:val="en-US" w:eastAsia="zh-CN"/>
        </w:rPr>
        <w:t>二</w:t>
      </w:r>
      <w:r>
        <w:rPr>
          <w:rFonts w:hint="eastAsia" w:ascii="微软雅黑" w:hAnsi="微软雅黑" w:eastAsia="微软雅黑" w:cs="微软雅黑"/>
          <w:b/>
          <w:bCs/>
          <w:sz w:val="20"/>
          <w:szCs w:val="20"/>
          <w:highlight w:val="none"/>
        </w:rPr>
        <w:t>、</w:t>
      </w:r>
      <w:r>
        <w:rPr>
          <w:rFonts w:hint="eastAsia" w:ascii="微软雅黑" w:hAnsi="微软雅黑" w:eastAsia="微软雅黑" w:cs="微软雅黑"/>
          <w:b/>
          <w:bCs w:val="0"/>
          <w:sz w:val="20"/>
          <w:szCs w:val="20"/>
          <w:highlight w:val="none"/>
        </w:rPr>
        <w:t>其他</w:t>
      </w:r>
    </w:p>
    <w:p w14:paraId="7BE49ECD">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（一）本理财产品中示例均采用假设数据，并不代表客户实际可获得的收益。</w:t>
      </w:r>
    </w:p>
    <w:p w14:paraId="458557C8">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（二）受理时间、信息披露的相关时间以广东华润银行业务处理系统记录为准。</w:t>
      </w:r>
    </w:p>
    <w:p w14:paraId="229052FD">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（三）投资者承诺其用于投资本理财产品的资金来源合法合规，不存在使用信贷资金等的非自有资金投资本理财产品的情形。</w:t>
      </w:r>
    </w:p>
    <w:p w14:paraId="53A3D66B">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四）投资者承诺投资本理财产品使用的资金为投资者合法持有，不存在代他人持有或投资理财产品的情形；资金来源合法合规，不属于依据联合国、中国政府及其他可适用政府或国际组织制裁（名单）范围；仅为合法目的投资本理财产品；如发生异常情况，投资者承诺配合管理人开展客户身份识别及尽职调查等反洗钱相关工作，及时、真实、准确、完整提供身份信息及资金来源等信息。如管理人发现投资者或投资者重要关联方存在洗钱或者被制裁风险，例如提供不实、不完整或者无效的身份或交易信息，未及时更新身份证明文件，投资者或投资者账户、投资者重要关联方出现异常或涉嫌洗钱、恐怖融资，投资者或投资者交易、投资者重要关联方或其交易涉及联合国、中国等国际组织或国家发布的监控名单或者制裁事项，或投资者/投资者重要关联方在使用金融服务中出现其他违反可适用法律法规的情况等，管理人有权单方对投资者采取拒绝开户申请、限制交易、停止支付及终止账户业务等一项或多项措施，并可要求投资者配合尽职调查、补充证明文件或者在指定期限内办理销户及其他相关手续。投资者逾期未办理的，则视同自愿销户，此时管理人可单方予以销户。销售服务机构及管理人因投资者出现本条所述的风险情况而采取上述措施所造成的责任和损失由投资者自行承担，给管理人造成损失的，投资者应承担相应赔偿责任。上述“重要关联方”包含“法定代表人、实际控制人、受益所有人、重要投资人、重要被投资人、重要债权人、被控制实体等”。</w:t>
      </w:r>
    </w:p>
    <w:p w14:paraId="24040875">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五）除本《产品说明书》中明确规定的收益及收益分配方式外，任何业绩比较基准或类似表述均属不具有法律约束力的用语，不代表投资者可能获得的实际收益，亦不构成管理人对本理财产品的任何收益承诺。投资者所能获得的最终收益以管理人实际支付的为准。</w:t>
      </w:r>
    </w:p>
    <w:p w14:paraId="4D338093">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（六）</w:t>
      </w:r>
      <w:r>
        <w:rPr>
          <w:rFonts w:hint="eastAsia" w:ascii="微软雅黑" w:hAnsi="微软雅黑" w:eastAsia="微软雅黑" w:cs="微软雅黑"/>
          <w:b/>
          <w:bCs/>
          <w:color w:val="auto"/>
          <w:spacing w:val="0"/>
          <w:kern w:val="2"/>
          <w:sz w:val="20"/>
          <w:szCs w:val="20"/>
          <w:highlight w:val="none"/>
          <w:lang w:val="en-US" w:eastAsia="zh-CN" w:bidi="ar"/>
        </w:rPr>
        <w:t>在本产品存续期内，如出于维持本产品正常运营的需要且在不实质损害投资者利益的前提下，或因国家法律法规、监管规定发生变化，管理人有权在法律允许的范围内单方对本《产品说明书》进行修订。管理人决定对《产品说明书》进行修订的，将提前3个工作日以本《产品说明书》约定的信息披露方式向投资者进行信息披露，管理人按照前述规则发布该信息披露即视为该修订通知已送达投资者并对投资者具有法律约束力。对于投资者利益产生实质影响的事项（如对投资范围、投资品种、投资比例进行调整，增加费用名目、提高收费标准、调整收费条件和方式等），投资者如不同意补充或修改后的说明书，可在广东华润银行信息披露的补充或修改后的相关业务调整生效前赎回本理财产品。（若为封闭式理财产品的，在符合法律法规及监管政策的前提下，可由管理人另行决定投资者的退出方式）若投资者未选择退出本产品的，则视为已理解并接受管理人的相应变更。</w:t>
      </w:r>
    </w:p>
    <w:p w14:paraId="52E34EB5">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color w:val="auto"/>
          <w:spacing w:val="0"/>
          <w:kern w:val="2"/>
          <w:sz w:val="20"/>
          <w:szCs w:val="20"/>
          <w:highlight w:val="none"/>
          <w:lang w:val="en-US" w:eastAsia="zh-CN" w:bidi="ar"/>
        </w:rPr>
        <w:t>（七）</w:t>
      </w: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为纸质文本的，由投资者在本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上签名，</w:t>
      </w:r>
      <w:r>
        <w:rPr>
          <w:rFonts w:hint="eastAsia" w:ascii="微软雅黑" w:hAnsi="微软雅黑" w:eastAsia="微软雅黑" w:cs="微软雅黑"/>
          <w:b/>
          <w:bCs/>
          <w:sz w:val="20"/>
          <w:szCs w:val="20"/>
          <w:highlight w:val="none"/>
        </w:rPr>
        <w:t>即表示</w:t>
      </w:r>
      <w:r>
        <w:rPr>
          <w:rFonts w:hint="eastAsia" w:ascii="微软雅黑" w:hAnsi="微软雅黑" w:eastAsia="微软雅黑" w:cs="微软雅黑"/>
          <w:b/>
          <w:bCs/>
          <w:sz w:val="20"/>
          <w:szCs w:val="20"/>
          <w:highlight w:val="none"/>
          <w:lang w:val="en-US" w:eastAsia="zh-CN"/>
        </w:rPr>
        <w:t>您</w:t>
      </w:r>
      <w:r>
        <w:rPr>
          <w:rFonts w:hint="eastAsia" w:ascii="微软雅黑" w:hAnsi="微软雅黑" w:eastAsia="微软雅黑" w:cs="微软雅黑"/>
          <w:b/>
          <w:bCs/>
          <w:sz w:val="20"/>
          <w:szCs w:val="20"/>
          <w:highlight w:val="none"/>
        </w:rPr>
        <w:t>已阅读并同意本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即</w:t>
      </w:r>
      <w:r>
        <w:rPr>
          <w:rFonts w:hint="eastAsia" w:ascii="微软雅黑" w:hAnsi="微软雅黑" w:eastAsia="微软雅黑" w:cs="微软雅黑"/>
          <w:b/>
          <w:bCs/>
          <w:sz w:val="20"/>
          <w:szCs w:val="20"/>
          <w:highlight w:val="none"/>
          <w:lang w:val="en-US" w:eastAsia="zh-CN"/>
        </w:rPr>
        <w:t>已完成签署并具有法律约束力</w:t>
      </w:r>
      <w:r>
        <w:rPr>
          <w:rFonts w:hint="eastAsia" w:ascii="微软雅黑" w:hAnsi="微软雅黑" w:eastAsia="微软雅黑" w:cs="微软雅黑"/>
          <w:b/>
          <w:bCs/>
          <w:sz w:val="20"/>
          <w:szCs w:val="20"/>
          <w:highlight w:val="none"/>
        </w:rPr>
        <w:t>。</w:t>
      </w:r>
    </w:p>
    <w:p w14:paraId="1CCCD0B3">
      <w:pPr>
        <w:keepNext w:val="0"/>
        <w:keepLines w:val="0"/>
        <w:widowControl/>
        <w:suppressLineNumbers w:val="0"/>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为通过广东华润银行电子业务系统线上签署的，</w:t>
      </w:r>
      <w:r>
        <w:rPr>
          <w:rFonts w:hint="eastAsia" w:ascii="微软雅黑" w:hAnsi="微软雅黑" w:eastAsia="微软雅黑" w:cs="微软雅黑"/>
          <w:b/>
          <w:bCs/>
          <w:sz w:val="20"/>
          <w:szCs w:val="20"/>
          <w:highlight w:val="none"/>
        </w:rPr>
        <w:t>您在操作页面上的</w:t>
      </w:r>
      <w:r>
        <w:rPr>
          <w:rFonts w:hint="eastAsia" w:ascii="微软雅黑" w:hAnsi="微软雅黑" w:eastAsia="微软雅黑" w:cs="微软雅黑"/>
          <w:b/>
          <w:bCs/>
          <w:sz w:val="20"/>
          <w:szCs w:val="20"/>
          <w:highlight w:val="none"/>
          <w:lang w:val="en-US" w:eastAsia="zh-CN"/>
        </w:rPr>
        <w:t>点击同意/</w:t>
      </w:r>
      <w:r>
        <w:rPr>
          <w:rFonts w:hint="eastAsia" w:ascii="微软雅黑" w:hAnsi="微软雅黑" w:eastAsia="微软雅黑" w:cs="微软雅黑"/>
          <w:b/>
          <w:bCs/>
          <w:sz w:val="20"/>
          <w:szCs w:val="20"/>
          <w:highlight w:val="none"/>
        </w:rPr>
        <w:t>确认、</w:t>
      </w:r>
      <w:r>
        <w:rPr>
          <w:rFonts w:hint="eastAsia" w:ascii="微软雅黑" w:hAnsi="微软雅黑" w:eastAsia="微软雅黑" w:cs="微软雅黑"/>
          <w:b/>
          <w:bCs/>
          <w:sz w:val="20"/>
          <w:szCs w:val="20"/>
          <w:highlight w:val="none"/>
          <w:lang w:val="en-US" w:eastAsia="zh-CN"/>
        </w:rPr>
        <w:t>电子签名、</w:t>
      </w:r>
      <w:r>
        <w:rPr>
          <w:rFonts w:hint="eastAsia" w:ascii="微软雅黑" w:hAnsi="微软雅黑" w:eastAsia="微软雅黑" w:cs="微软雅黑"/>
          <w:b/>
          <w:bCs/>
          <w:sz w:val="20"/>
          <w:szCs w:val="20"/>
          <w:highlight w:val="none"/>
        </w:rPr>
        <w:t>勾选等即表示您已阅读并同意本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即</w:t>
      </w:r>
      <w:r>
        <w:rPr>
          <w:rFonts w:hint="eastAsia" w:ascii="微软雅黑" w:hAnsi="微软雅黑" w:eastAsia="微软雅黑" w:cs="微软雅黑"/>
          <w:b/>
          <w:bCs/>
          <w:sz w:val="20"/>
          <w:szCs w:val="20"/>
          <w:highlight w:val="none"/>
          <w:lang w:val="en-US" w:eastAsia="zh-CN"/>
        </w:rPr>
        <w:t>已完成签署并具有法律约束力</w:t>
      </w:r>
      <w:r>
        <w:rPr>
          <w:rFonts w:hint="eastAsia" w:ascii="微软雅黑" w:hAnsi="微软雅黑" w:eastAsia="微软雅黑" w:cs="微软雅黑"/>
          <w:b/>
          <w:bCs/>
          <w:sz w:val="20"/>
          <w:szCs w:val="20"/>
          <w:highlight w:val="none"/>
        </w:rPr>
        <w:t>。</w:t>
      </w:r>
    </w:p>
    <w:p w14:paraId="7D7C98A7">
      <w:pPr>
        <w:keepNext w:val="0"/>
        <w:keepLines w:val="0"/>
        <w:widowControl/>
        <w:suppressLineNumbers w:val="0"/>
        <w:spacing w:beforeLines="0" w:afterLines="0" w:line="320" w:lineRule="exact"/>
        <w:ind w:firstLine="600" w:firstLineChars="300"/>
        <w:jc w:val="left"/>
        <w:rPr>
          <w:rFonts w:hint="eastAsia" w:ascii="微软雅黑" w:hAnsi="微软雅黑" w:eastAsia="微软雅黑" w:cs="微软雅黑"/>
          <w:b w:val="0"/>
          <w:bCs w:val="0"/>
          <w:sz w:val="20"/>
          <w:szCs w:val="20"/>
        </w:rPr>
      </w:pPr>
    </w:p>
    <w:p w14:paraId="0EF118C2">
      <w:pPr>
        <w:keepNext w:val="0"/>
        <w:keepLines w:val="0"/>
        <w:widowControl/>
        <w:suppressLineNumbers w:val="0"/>
        <w:wordWrap/>
        <w:spacing w:beforeLines="0" w:afterLines="0" w:line="320" w:lineRule="exact"/>
        <w:ind w:firstLine="4334" w:firstLineChars="1900"/>
        <w:jc w:val="center"/>
        <w:rPr>
          <w:rFonts w:hint="default" w:ascii="微软雅黑" w:hAnsi="微软雅黑" w:eastAsia="微软雅黑" w:cs="微软雅黑"/>
          <w:b/>
          <w:bCs/>
          <w:color w:val="000000"/>
          <w:spacing w:val="14"/>
          <w:kern w:val="0"/>
          <w:sz w:val="20"/>
          <w:szCs w:val="20"/>
          <w:lang w:val="en-US" w:eastAsia="zh-CN" w:bidi="ar"/>
        </w:rPr>
      </w:pPr>
      <w:r>
        <w:rPr>
          <w:rFonts w:hint="eastAsia" w:ascii="微软雅黑" w:hAnsi="微软雅黑" w:eastAsia="微软雅黑" w:cs="微软雅黑"/>
          <w:b/>
          <w:bCs/>
          <w:color w:val="000000"/>
          <w:spacing w:val="14"/>
          <w:kern w:val="0"/>
          <w:sz w:val="20"/>
          <w:szCs w:val="20"/>
          <w:lang w:val="en-US" w:eastAsia="zh-CN" w:bidi="ar"/>
        </w:rPr>
        <w:t>投资者（签署）：</w:t>
      </w:r>
    </w:p>
    <w:p w14:paraId="2C025C7C">
      <w:pPr>
        <w:widowControl/>
        <w:spacing w:beforeLines="0" w:afterLines="0" w:line="320" w:lineRule="exact"/>
        <w:ind w:firstLine="5931" w:firstLineChars="2600"/>
        <w:jc w:val="left"/>
        <w:rPr>
          <w:b/>
          <w:bCs/>
        </w:rPr>
      </w:pPr>
      <w:r>
        <w:rPr>
          <w:rFonts w:hint="eastAsia" w:ascii="微软雅黑" w:hAnsi="微软雅黑" w:eastAsia="微软雅黑" w:cs="微软雅黑"/>
          <w:b/>
          <w:bCs/>
          <w:color w:val="000000"/>
          <w:spacing w:val="14"/>
          <w:kern w:val="0"/>
          <w:sz w:val="20"/>
          <w:szCs w:val="20"/>
          <w:lang w:val="en-US" w:eastAsia="zh-CN" w:bidi="ar"/>
        </w:rPr>
        <w:t>日期：</w:t>
      </w:r>
    </w:p>
    <w:sectPr>
      <w:headerReference r:id="rId3" w:type="default"/>
      <w:footerReference r:id="rId4"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86"/>
    <w:family w:val="auto"/>
    <w:pitch w:val="default"/>
    <w:sig w:usb0="E0000AFF" w:usb1="00007843" w:usb2="00000001" w:usb3="00000000" w:csb0="400001BF" w:csb1="DFF70000"/>
  </w:font>
  <w:font w:name="宋体">
    <w:altName w:val="汉仪书宋二KW"/>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微软雅黑">
    <w:altName w:val="方正雅意黑 GB18030L2"/>
    <w:panose1 w:val="020B0503020204020204"/>
    <w:charset w:val="86"/>
    <w:family w:val="swiss"/>
    <w:pitch w:val="default"/>
    <w:sig w:usb0="00000000" w:usb1="00000000" w:usb2="00000016" w:usb3="00000000" w:csb0="0004001F" w:csb1="00000000"/>
  </w:font>
  <w:font w:name="汉仪旗黑">
    <w:panose1 w:val="00020600040101010101"/>
    <w:charset w:val="86"/>
    <w:family w:val="auto"/>
    <w:pitch w:val="default"/>
    <w:sig w:usb0="A00002BF" w:usb1="1ACF7CFA" w:usb2="00000016" w:usb3="00000000" w:csb0="0004009F" w:csb1="DFD70000"/>
  </w:font>
  <w:font w:name="方正黑体简体">
    <w:panose1 w:val="02000000000000000000"/>
    <w:charset w:val="86"/>
    <w:family w:val="auto"/>
    <w:pitch w:val="default"/>
    <w:sig w:usb0="A00002BF" w:usb1="184F6CFA" w:usb2="00000012" w:usb3="00000000" w:csb0="00040001" w:csb1="00000000"/>
  </w:font>
  <w:font w:name="方正雅意黑 GB18030L2">
    <w:panose1 w:val="02000500000000000000"/>
    <w:charset w:val="86"/>
    <w:family w:val="auto"/>
    <w:pitch w:val="default"/>
    <w:sig w:usb0="E00002FF" w:usb1="38CFFCFB" w:usb2="00000016" w:usb3="00000000" w:csb0="6004019F" w:csb1="DFD7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13609C">
    <w:pPr>
      <w:pStyle w:val="3"/>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636CBB">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9636CBB">
                    <w:pPr>
                      <w:pStyle w:val="3"/>
                    </w:pPr>
                    <w:r>
                      <w:fldChar w:fldCharType="begin"/>
                    </w:r>
                    <w:r>
                      <w:instrText xml:space="preserve"> PAGE  \* MERGEFORMAT </w:instrText>
                    </w:r>
                    <w:r>
                      <w:fldChar w:fldCharType="separate"/>
                    </w:r>
                    <w:r>
                      <w:t>1</w:t>
                    </w:r>
                    <w:r>
                      <w:fldChar w:fldCharType="end"/>
                    </w:r>
                  </w:p>
                </w:txbxContent>
              </v:textbox>
            </v:shape>
          </w:pict>
        </mc:Fallback>
      </mc:AlternateContent>
    </w:r>
  </w:p>
  <w:p w14:paraId="29D38E71">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66F59A">
    <w:pPr>
      <w:pStyle w:val="4"/>
      <w:pBdr>
        <w:bottom w:val="single" w:color="auto" w:sz="4" w:space="0"/>
      </w:pBdr>
      <w:jc w:val="left"/>
      <w:rPr>
        <w:rFonts w:hint="eastAsia" w:eastAsia="宋体"/>
        <w:lang w:eastAsia="zh-CN"/>
      </w:rPr>
    </w:pPr>
  </w:p>
  <w:p w14:paraId="11E2D041">
    <w:pPr>
      <w:pStyle w:val="4"/>
      <w:pBdr>
        <w:bottom w:val="single" w:color="auto" w:sz="4" w:space="0"/>
      </w:pBdr>
      <w:jc w:val="right"/>
      <w:rPr>
        <w:rFonts w:ascii="微软雅黑" w:hAnsi="微软雅黑" w:eastAsia="微软雅黑"/>
        <w:b/>
      </w:rPr>
    </w:pPr>
    <w:r>
      <w:rPr>
        <w:rFonts w:hint="eastAsia" w:ascii="微软雅黑" w:hAnsi="微软雅黑" w:eastAsia="微软雅黑"/>
        <w:b/>
        <w:lang w:val="en-US" w:eastAsia="zh-CN"/>
      </w:rPr>
      <w:t>202609</w:t>
    </w:r>
    <w:r>
      <w:rPr>
        <w:rFonts w:hint="eastAsia" w:ascii="微软雅黑" w:hAnsi="微软雅黑" w:eastAsia="微软雅黑"/>
        <w:b/>
      </w:rPr>
      <w:t>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D2CFD5"/>
    <w:multiLevelType w:val="singleLevel"/>
    <w:tmpl w:val="98D2CFD5"/>
    <w:lvl w:ilvl="0" w:tentative="0">
      <w:start w:val="1"/>
      <w:numFmt w:val="decimal"/>
      <w:suff w:val="nothing"/>
      <w:lvlText w:val="（%1）"/>
      <w:lvlJc w:val="left"/>
    </w:lvl>
  </w:abstractNum>
  <w:abstractNum w:abstractNumId="1">
    <w:nsid w:val="CADA6CA3"/>
    <w:multiLevelType w:val="singleLevel"/>
    <w:tmpl w:val="CADA6CA3"/>
    <w:lvl w:ilvl="0" w:tentative="0">
      <w:start w:val="1"/>
      <w:numFmt w:val="decimal"/>
      <w:suff w:val="nothing"/>
      <w:lvlText w:val="（%1）"/>
      <w:lvlJc w:val="left"/>
    </w:lvl>
  </w:abstractNum>
  <w:abstractNum w:abstractNumId="2">
    <w:nsid w:val="D0013362"/>
    <w:multiLevelType w:val="singleLevel"/>
    <w:tmpl w:val="D0013362"/>
    <w:lvl w:ilvl="0" w:tentative="0">
      <w:start w:val="1"/>
      <w:numFmt w:val="decimal"/>
      <w:lvlText w:val="%1."/>
      <w:lvlJc w:val="left"/>
      <w:pPr>
        <w:tabs>
          <w:tab w:val="left" w:pos="312"/>
        </w:tabs>
      </w:pPr>
    </w:lvl>
  </w:abstractNum>
  <w:abstractNum w:abstractNumId="3">
    <w:nsid w:val="03DE00D4"/>
    <w:multiLevelType w:val="singleLevel"/>
    <w:tmpl w:val="03DE00D4"/>
    <w:lvl w:ilvl="0" w:tentative="0">
      <w:start w:val="1"/>
      <w:numFmt w:val="decimal"/>
      <w:suff w:val="nothing"/>
      <w:lvlText w:val="（%1）"/>
      <w:lvlJc w:val="left"/>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8F6636"/>
    <w:rsid w:val="00976388"/>
    <w:rsid w:val="00A732AA"/>
    <w:rsid w:val="01306075"/>
    <w:rsid w:val="01881AE7"/>
    <w:rsid w:val="018B7376"/>
    <w:rsid w:val="019002E5"/>
    <w:rsid w:val="02165FC0"/>
    <w:rsid w:val="02714A26"/>
    <w:rsid w:val="03B414CE"/>
    <w:rsid w:val="03BF2E4E"/>
    <w:rsid w:val="05821EFC"/>
    <w:rsid w:val="05AD1DE5"/>
    <w:rsid w:val="05CD394E"/>
    <w:rsid w:val="06205A84"/>
    <w:rsid w:val="065F6EC9"/>
    <w:rsid w:val="06FF7018"/>
    <w:rsid w:val="070F59AD"/>
    <w:rsid w:val="07597FA2"/>
    <w:rsid w:val="07D91F33"/>
    <w:rsid w:val="09825DF4"/>
    <w:rsid w:val="0A1261A7"/>
    <w:rsid w:val="0A9642EF"/>
    <w:rsid w:val="0AD91639"/>
    <w:rsid w:val="0B2E0241"/>
    <w:rsid w:val="0D874889"/>
    <w:rsid w:val="0E9575B0"/>
    <w:rsid w:val="0EEC3F08"/>
    <w:rsid w:val="0F394F64"/>
    <w:rsid w:val="10475161"/>
    <w:rsid w:val="11B15138"/>
    <w:rsid w:val="12A13A06"/>
    <w:rsid w:val="12F30933"/>
    <w:rsid w:val="12F955D8"/>
    <w:rsid w:val="13780584"/>
    <w:rsid w:val="13AC247C"/>
    <w:rsid w:val="1408101E"/>
    <w:rsid w:val="140B2F8F"/>
    <w:rsid w:val="141E4DEA"/>
    <w:rsid w:val="142802AA"/>
    <w:rsid w:val="147F0567"/>
    <w:rsid w:val="148D33AC"/>
    <w:rsid w:val="149C3A86"/>
    <w:rsid w:val="14B15E18"/>
    <w:rsid w:val="150C3673"/>
    <w:rsid w:val="16553151"/>
    <w:rsid w:val="16905BDF"/>
    <w:rsid w:val="16F22773"/>
    <w:rsid w:val="17AD0B64"/>
    <w:rsid w:val="181D63C5"/>
    <w:rsid w:val="1B391A14"/>
    <w:rsid w:val="1B5202EC"/>
    <w:rsid w:val="1B7D18F3"/>
    <w:rsid w:val="1B802337"/>
    <w:rsid w:val="1C471657"/>
    <w:rsid w:val="1FB2359F"/>
    <w:rsid w:val="202A0D43"/>
    <w:rsid w:val="2168501B"/>
    <w:rsid w:val="22E77109"/>
    <w:rsid w:val="235C4EC8"/>
    <w:rsid w:val="23F54552"/>
    <w:rsid w:val="2503174A"/>
    <w:rsid w:val="25C920B0"/>
    <w:rsid w:val="270F5E5A"/>
    <w:rsid w:val="27C3535E"/>
    <w:rsid w:val="288E09D9"/>
    <w:rsid w:val="29327EFA"/>
    <w:rsid w:val="2A86235F"/>
    <w:rsid w:val="2B6A1BCA"/>
    <w:rsid w:val="2B80553F"/>
    <w:rsid w:val="2BB970C4"/>
    <w:rsid w:val="2BE84159"/>
    <w:rsid w:val="2C1C20A9"/>
    <w:rsid w:val="2C437C4E"/>
    <w:rsid w:val="2CD41B44"/>
    <w:rsid w:val="2DCA19E9"/>
    <w:rsid w:val="2F2A406E"/>
    <w:rsid w:val="2F7C7864"/>
    <w:rsid w:val="2FB03A92"/>
    <w:rsid w:val="319C645D"/>
    <w:rsid w:val="31E8402B"/>
    <w:rsid w:val="32DC13E4"/>
    <w:rsid w:val="340140E6"/>
    <w:rsid w:val="357E1023"/>
    <w:rsid w:val="35AA05FA"/>
    <w:rsid w:val="36095C1C"/>
    <w:rsid w:val="365917BD"/>
    <w:rsid w:val="379538B3"/>
    <w:rsid w:val="37AF0E2E"/>
    <w:rsid w:val="37F6B6AD"/>
    <w:rsid w:val="38C20218"/>
    <w:rsid w:val="39B82E07"/>
    <w:rsid w:val="39D977EC"/>
    <w:rsid w:val="3A38092F"/>
    <w:rsid w:val="3AE3718A"/>
    <w:rsid w:val="3BDD601C"/>
    <w:rsid w:val="3D9E622F"/>
    <w:rsid w:val="3DD62575"/>
    <w:rsid w:val="3E7A6E3D"/>
    <w:rsid w:val="3EE9180A"/>
    <w:rsid w:val="3F986A32"/>
    <w:rsid w:val="3FB3793B"/>
    <w:rsid w:val="402A10C5"/>
    <w:rsid w:val="409147A1"/>
    <w:rsid w:val="41392DB8"/>
    <w:rsid w:val="41F10240"/>
    <w:rsid w:val="43E401C6"/>
    <w:rsid w:val="44CE606F"/>
    <w:rsid w:val="453C2BC4"/>
    <w:rsid w:val="453D75E9"/>
    <w:rsid w:val="45585AA1"/>
    <w:rsid w:val="46846E66"/>
    <w:rsid w:val="46AE62C2"/>
    <w:rsid w:val="46BC7146"/>
    <w:rsid w:val="471E510B"/>
    <w:rsid w:val="47F76C91"/>
    <w:rsid w:val="49EE531F"/>
    <w:rsid w:val="4ABD369F"/>
    <w:rsid w:val="4AD8186E"/>
    <w:rsid w:val="4AF16BBD"/>
    <w:rsid w:val="4BDD7BC2"/>
    <w:rsid w:val="4CB074DF"/>
    <w:rsid w:val="4EE91359"/>
    <w:rsid w:val="4F573BE1"/>
    <w:rsid w:val="4FA030D2"/>
    <w:rsid w:val="5007118A"/>
    <w:rsid w:val="50FB1E76"/>
    <w:rsid w:val="523B6595"/>
    <w:rsid w:val="52AA0B9F"/>
    <w:rsid w:val="532B2EE7"/>
    <w:rsid w:val="536E6363"/>
    <w:rsid w:val="53C934A7"/>
    <w:rsid w:val="54687333"/>
    <w:rsid w:val="5559781E"/>
    <w:rsid w:val="55C20EA3"/>
    <w:rsid w:val="569B42B8"/>
    <w:rsid w:val="59FD2DF2"/>
    <w:rsid w:val="5BE432C5"/>
    <w:rsid w:val="5CD3789B"/>
    <w:rsid w:val="5F8B5555"/>
    <w:rsid w:val="5F9F79E6"/>
    <w:rsid w:val="5FC85FA2"/>
    <w:rsid w:val="600B0AC0"/>
    <w:rsid w:val="60567BFB"/>
    <w:rsid w:val="608A0BA3"/>
    <w:rsid w:val="60A60246"/>
    <w:rsid w:val="60AC2D12"/>
    <w:rsid w:val="61271414"/>
    <w:rsid w:val="620740F9"/>
    <w:rsid w:val="634E46E0"/>
    <w:rsid w:val="63881E31"/>
    <w:rsid w:val="638B573B"/>
    <w:rsid w:val="640475B9"/>
    <w:rsid w:val="64500020"/>
    <w:rsid w:val="65071796"/>
    <w:rsid w:val="652D1E04"/>
    <w:rsid w:val="65A00E18"/>
    <w:rsid w:val="67034362"/>
    <w:rsid w:val="695D0F78"/>
    <w:rsid w:val="69A2714C"/>
    <w:rsid w:val="6A9C229C"/>
    <w:rsid w:val="6C537DED"/>
    <w:rsid w:val="6CF17D97"/>
    <w:rsid w:val="6FFC1A27"/>
    <w:rsid w:val="70937967"/>
    <w:rsid w:val="70C526D0"/>
    <w:rsid w:val="70F0489A"/>
    <w:rsid w:val="710D6DC8"/>
    <w:rsid w:val="712A6482"/>
    <w:rsid w:val="7144135F"/>
    <w:rsid w:val="72534367"/>
    <w:rsid w:val="72A37AC8"/>
    <w:rsid w:val="74944B14"/>
    <w:rsid w:val="76B066AE"/>
    <w:rsid w:val="77D00A8D"/>
    <w:rsid w:val="7A13262E"/>
    <w:rsid w:val="7A40674A"/>
    <w:rsid w:val="7A9A6267"/>
    <w:rsid w:val="7AB9259F"/>
    <w:rsid w:val="7B0E621D"/>
    <w:rsid w:val="7BDE50EB"/>
    <w:rsid w:val="7CD83DAF"/>
    <w:rsid w:val="7D116CCB"/>
    <w:rsid w:val="7DC264F9"/>
    <w:rsid w:val="7E344F59"/>
    <w:rsid w:val="7EB7061D"/>
    <w:rsid w:val="7EBD0A5F"/>
    <w:rsid w:val="7F8738A2"/>
    <w:rsid w:val="7FDF4200"/>
    <w:rsid w:val="ABBFB244"/>
    <w:rsid w:val="DB3F9078"/>
    <w:rsid w:val="DFF73F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unhideWhenUsed/>
    <w:qFormat/>
    <w:uiPriority w:val="99"/>
    <w:pPr>
      <w:jc w:val="left"/>
    </w:p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3450</Words>
  <Characters>3619</Characters>
  <Lines>0</Lines>
  <Paragraphs>0</Paragraphs>
  <TotalTime>160</TotalTime>
  <ScaleCrop>false</ScaleCrop>
  <LinksUpToDate>false</LinksUpToDate>
  <CharactersWithSpaces>3634</CharactersWithSpaces>
  <Application>WPS Office_12.1.28496.28496_F1E327BC-269C-435d-A152-05C5408002CA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2022-04-02T07:00:00Z</dcterms:created>
  <dc:creator>linaina1</dc:creator>
  <cp:lastModifiedBy>陈朋林</cp:lastModifiedBy>
  <dcterms:modified xsi:type="dcterms:W3CDTF">2026-09-14T11:17:10Z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2052-12.1.28496.28496</vt:lpwstr>
  </property>
  <property fmtid="{D5CDD505-2E9C-101B-9397-08002B2CF9AE}" pid="3" name="ICV">
    <vt:lpwstr>3297B61A2C194FC88FC7C1779E02EEDE_13</vt:lpwstr>
  </property>
  <property fmtid="{D5CDD505-2E9C-101B-9397-08002B2CF9AE}" pid="4" name="KSOTemplateDocerSaveRecord">
    <vt:lpwstr>eyJoZGlkIjoiMmIyN2Q5NmMyNGMyNTc5NmRjN2UyM2JlMjU4NGYwNDEiLCJ1c2VySWQiOiIyNDY3NzMwMTMifQ==</vt:lpwstr>
  </property>
</Properties>
</file>