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C38D3">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广东华润银行润悦1号第1119期理财产品说明书</w:t>
      </w:r>
      <w:r>
        <w:rPr>
          <w:rFonts w:hint="eastAsia" w:ascii="微软雅黑" w:hAnsi="微软雅黑" w:eastAsia="微软雅黑"/>
          <w:b/>
          <w:sz w:val="28"/>
          <w:szCs w:val="28"/>
          <w:highlight w:val="none"/>
        </w:rPr>
      </w:r>
      <w:r>
        <w:rPr>
          <w:rFonts w:hint="eastAsia" w:ascii="微软雅黑" w:hAnsi="微软雅黑" w:eastAsia="微软雅黑"/>
          <w:b/>
          <w:sz w:val="28"/>
          <w:szCs w:val="28"/>
          <w:highlight w:val="none"/>
          <w:lang w:val="en-US" w:eastAsia="zh-CN"/>
        </w:rPr>
      </w:r>
      <w:r>
        <w:rPr>
          <w:rFonts w:hint="eastAsia" w:ascii="微软雅黑" w:hAnsi="微软雅黑" w:eastAsia="微软雅黑"/>
          <w:b/>
          <w:sz w:val="28"/>
          <w:szCs w:val="28"/>
          <w:highlight w:val="none"/>
        </w:rPr>
      </w:r>
    </w:p>
    <w:p w14:paraId="22999877">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14:paraId="27FF6A12">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14:paraId="46EA6106">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14:paraId="365CC05A">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14:paraId="2641EB5D">
      <w:pPr>
        <w:numPr>
          <w:ilvl w:val="-1"/>
          <w:numId w:val="0"/>
        </w:numPr>
        <w:spacing w:before="157" w:beforeLines="50" w:afterLines="0" w:line="320" w:lineRule="exact"/>
        <w:ind w:left="0" w:firstLine="400" w:firstLineChars="20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14:paraId="1DB1F4D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14:paraId="70DF771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14:paraId="3DEF8B51">
      <w:pPr>
        <w:spacing w:beforeLines="0" w:afterLines="0" w:line="320" w:lineRule="exact"/>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元：指人民币元</w:t>
      </w:r>
    </w:p>
    <w:p w14:paraId="56B2680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14:paraId="3C2EC96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14:paraId="00A93E0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14:paraId="6B5BFEC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证券管理有限公司、基金管理有限公司、资产管理有限公司等，理财产品管理人可根据产品实际运作情况，在符合监管要求的前提下调整理财投资合作机构。</w:t>
      </w:r>
    </w:p>
    <w:p w14:paraId="594C72D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14:paraId="460A3E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合格投资者：具备相应风险识别能力和风险承受能力，投资于单只理财产品不低于一定金额且符合一定条件的投资主体。</w:t>
      </w:r>
    </w:p>
    <w:p w14:paraId="35946BF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开放式理财产品：指自产品成立日至终止日期间，理财产品份额总额不固定，投资者可以按照协议约定，在开放日和相应场所进行认购或者赎回的理财产品。</w:t>
      </w:r>
    </w:p>
    <w:p w14:paraId="366083D8">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14:paraId="5D451AE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14:paraId="596C01B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14:paraId="527C061F">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申购申请时间段：指本理财产品可以提出申购以及撤销申购的时间段。</w:t>
      </w:r>
    </w:p>
    <w:p w14:paraId="49E1CE4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14:paraId="3D37D6E0">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申购/赎回确认日：指产品管理人确认投资者申购/赎回申请有效性的日期。</w:t>
      </w:r>
    </w:p>
    <w:p w14:paraId="4688869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存续期：指自本理财产品起始日至理财产品终止日的期间。</w:t>
      </w:r>
    </w:p>
    <w:p w14:paraId="301CDFF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14:paraId="0E40711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14:paraId="1136B1A1">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14:paraId="7A47C487">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14:paraId="31644CB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14:paraId="143CE43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14:paraId="53BD614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14:paraId="7EF85E9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14:paraId="4966B88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终止日后3</w:t>
      </w:r>
      <w:r>
        <w:rPr>
          <w:rFonts w:hint="eastAsia" w:ascii="微软雅黑" w:hAnsi="微软雅黑" w:eastAsia="微软雅黑" w:cs="微软雅黑"/>
          <w:sz w:val="20"/>
          <w:szCs w:val="20"/>
          <w:highlight w:val="none"/>
        </w:rPr>
        <w:t>个工作日内自动到账。</w:t>
      </w:r>
    </w:p>
    <w:p w14:paraId="0920CE6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14:paraId="4648EE14">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w:t>
      </w:r>
      <w:r>
        <w:rPr>
          <w:rFonts w:hint="eastAsia" w:ascii="微软雅黑" w:hAnsi="微软雅黑" w:eastAsia="微软雅黑" w:cs="微软雅黑"/>
          <w:sz w:val="20"/>
          <w:szCs w:val="20"/>
          <w:highlight w:val="none"/>
          <w:lang w:eastAsia="zh-CN"/>
        </w:rPr>
        <w:t>到账</w:t>
      </w:r>
      <w:r>
        <w:rPr>
          <w:rFonts w:hint="eastAsia" w:ascii="微软雅黑" w:hAnsi="微软雅黑" w:eastAsia="微软雅黑" w:cs="微软雅黑"/>
          <w:sz w:val="20"/>
          <w:szCs w:val="20"/>
          <w:highlight w:val="none"/>
        </w:rPr>
        <w:t>日为理财产品清算期，清算期内资金不计付利息。</w:t>
      </w:r>
    </w:p>
    <w:p w14:paraId="74ABF212">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14:paraId="4940D55C">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14:paraId="27B3C1C3">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30.理财产品/产品：指广东华润银行润悦1号第1119期理财产品。</w:t>
      </w:r>
      <w:r>
        <w:rPr>
          <w:rFonts w:hint="eastAsia" w:ascii="微软雅黑" w:hAnsi="微软雅黑" w:eastAsia="微软雅黑" w:cs="微软雅黑"/>
          <w:b w:val="0"/>
          <w:bCs w:val="0"/>
          <w:kern w:val="2"/>
          <w:sz w:val="20"/>
          <w:szCs w:val="20"/>
          <w:highlight w:val="none"/>
          <w:lang w:val="en-US" w:eastAsia="zh-CN" w:bidi="ar"/>
        </w:rPr>
      </w:r>
      <w:r>
        <w:rPr>
          <w:rFonts w:hint="eastAsia" w:ascii="微软雅黑" w:hAnsi="微软雅黑" w:eastAsia="微软雅黑" w:cs="微软雅黑"/>
          <w:spacing w:val="0"/>
          <w:position w:val="0"/>
          <w:sz w:val="20"/>
          <w:szCs w:val="20"/>
          <w:highlight w:val="none"/>
          <w:lang w:val="en-US" w:eastAsia="zh-CN" w:bidi="ar"/>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position w:val="0"/>
          <w:sz w:val="20"/>
          <w:szCs w:val="20"/>
          <w:highlight w:val="none"/>
          <w:lang w:val="en-US" w:eastAsia="zh-CN" w:bidi="ar"/>
        </w:rPr>
      </w:r>
    </w:p>
    <w:p w14:paraId="4799D182">
      <w:pPr>
        <w:spacing w:before="157" w:beforeLines="5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14:paraId="77CAFB60">
        <w:trPr>
          <w:jc w:val="center"/>
        </w:trPr>
        <w:tc>
          <w:tcPr>
            <w:tcW w:w="2014" w:type="dxa"/>
            <w:noWrap w:val="0"/>
            <w:vAlign w:val="top"/>
          </w:tcPr>
          <w:p w14:paraId="542E2EA2">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14:paraId="098BB91C">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广东华润银行润悦1号第1119期理财产品</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14:paraId="40BE073B">
        <w:trPr>
          <w:jc w:val="center"/>
        </w:trPr>
        <w:tc>
          <w:tcPr>
            <w:tcW w:w="2014" w:type="dxa"/>
            <w:noWrap w:val="0"/>
            <w:vAlign w:val="top"/>
          </w:tcPr>
          <w:p w14:paraId="7DD0E59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14:paraId="304E07E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润悦1号第1119期</w:t>
            </w:r>
            <w:r>
              <w:rPr>
                <w:rFonts w:hint="eastAsia" w:ascii="微软雅黑" w:hAnsi="微软雅黑" w:eastAsia="微软雅黑" w:cs="微软雅黑"/>
                <w:sz w:val="20"/>
                <w:szCs w:val="20"/>
                <w:highlight w:val="none"/>
                <w:lang w:val="en-US" w:eastAsia="zh-CN"/>
              </w:rPr>
            </w:r>
          </w:p>
        </w:tc>
      </w:tr>
      <w:tr w14:paraId="6481506C">
        <w:trPr>
          <w:jc w:val="center"/>
        </w:trPr>
        <w:tc>
          <w:tcPr>
            <w:tcW w:w="2014" w:type="dxa"/>
            <w:noWrap w:val="0"/>
            <w:vAlign w:val="top"/>
          </w:tcPr>
          <w:p w14:paraId="0CB7935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14:paraId="7AB32453">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RY11119</w:t>
            </w:r>
          </w:p>
        </w:tc>
      </w:tr>
      <w:tr w14:paraId="2A2BEA7C">
        <w:trPr>
          <w:jc w:val="center"/>
        </w:trPr>
        <w:tc>
          <w:tcPr>
            <w:tcW w:w="2014" w:type="dxa"/>
            <w:noWrap w:val="0"/>
            <w:vAlign w:val="center"/>
          </w:tcPr>
          <w:p w14:paraId="4A19751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14:paraId="0B3FC983">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C1082926000217</w:t>
            </w:r>
          </w:p>
          <w:p w14:paraId="6BBB633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14:paraId="4667B212">
        <w:trPr>
          <w:jc w:val="center"/>
        </w:trPr>
        <w:tc>
          <w:tcPr>
            <w:tcW w:w="2014" w:type="dxa"/>
            <w:noWrap w:val="0"/>
            <w:vAlign w:val="top"/>
          </w:tcPr>
          <w:p w14:paraId="5FCF5F6F">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14:paraId="1194E81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14:paraId="7CB02723">
        <w:trPr>
          <w:jc w:val="center"/>
        </w:trPr>
        <w:tc>
          <w:tcPr>
            <w:tcW w:w="2014" w:type="dxa"/>
            <w:noWrap w:val="0"/>
            <w:vAlign w:val="center"/>
          </w:tcPr>
          <w:p w14:paraId="211FC46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14:paraId="7C39201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14:paraId="519E9F81">
        <w:trPr>
          <w:jc w:val="center"/>
        </w:trPr>
        <w:tc>
          <w:tcPr>
            <w:tcW w:w="2014" w:type="dxa"/>
            <w:noWrap w:val="0"/>
            <w:vAlign w:val="center"/>
          </w:tcPr>
          <w:p w14:paraId="0202C98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14:paraId="3432698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14:paraId="748FF94F">
        <w:trPr>
          <w:jc w:val="center"/>
        </w:trPr>
        <w:tc>
          <w:tcPr>
            <w:tcW w:w="2014" w:type="dxa"/>
            <w:noWrap w:val="0"/>
            <w:vAlign w:val="center"/>
          </w:tcPr>
          <w:p w14:paraId="78693DC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14:paraId="5690EA4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14:paraId="75AD2BED">
        <w:trPr>
          <w:jc w:val="center"/>
        </w:trPr>
        <w:tc>
          <w:tcPr>
            <w:tcW w:w="2014" w:type="dxa"/>
            <w:noWrap w:val="0"/>
            <w:vAlign w:val="center"/>
          </w:tcPr>
          <w:p w14:paraId="18F6E83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14:paraId="0352686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14:paraId="6144B482">
        <w:trPr>
          <w:jc w:val="center"/>
        </w:trPr>
        <w:tc>
          <w:tcPr>
            <w:tcW w:w="2014" w:type="dxa"/>
            <w:noWrap w:val="0"/>
            <w:vAlign w:val="center"/>
          </w:tcPr>
          <w:p w14:paraId="1C5EC3C0">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14:paraId="5E57A2D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w:t>
            </w:r>
            <w:r>
              <w:rPr>
                <w:rFonts w:hint="eastAsia" w:ascii="微软雅黑" w:hAnsi="微软雅黑" w:eastAsia="微软雅黑" w:cs="微软雅黑"/>
                <w:sz w:val="20"/>
                <w:szCs w:val="20"/>
                <w:highlight w:val="none"/>
                <w:lang w:val="en-US" w:eastAsia="zh-CN"/>
              </w:rPr>
              <w:t>和机构</w:t>
            </w:r>
            <w:r>
              <w:rPr>
                <w:rFonts w:hint="eastAsia" w:ascii="微软雅黑" w:hAnsi="微软雅黑" w:eastAsia="微软雅黑" w:cs="微软雅黑"/>
                <w:sz w:val="20"/>
                <w:szCs w:val="20"/>
                <w:highlight w:val="none"/>
              </w:rPr>
              <w:t>客户。</w:t>
            </w:r>
          </w:p>
        </w:tc>
      </w:tr>
      <w:tr w14:paraId="1A569EB4">
        <w:trPr>
          <w:trHeight w:val="90" w:hRule="atLeast"/>
          <w:jc w:val="center"/>
        </w:trPr>
        <w:tc>
          <w:tcPr>
            <w:tcW w:w="2014" w:type="dxa"/>
            <w:noWrap w:val="0"/>
            <w:vAlign w:val="center"/>
          </w:tcPr>
          <w:p w14:paraId="2B022C05">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14:paraId="1D2C5E2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14:paraId="0D5C1FAC">
        <w:trPr>
          <w:jc w:val="center"/>
        </w:trPr>
        <w:tc>
          <w:tcPr>
            <w:tcW w:w="2014" w:type="dxa"/>
            <w:noWrap w:val="0"/>
            <w:vAlign w:val="center"/>
          </w:tcPr>
          <w:p w14:paraId="173C4C3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14:paraId="704AA63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募集规模不超过2亿元。</w:t>
            </w:r>
            <w:r>
              <w:rPr>
                <w:rFonts w:hint="eastAsia" w:ascii="微软雅黑" w:hAnsi="微软雅黑" w:eastAsia="微软雅黑" w:cs="微软雅黑"/>
                <w:sz w:val="20"/>
                <w:szCs w:val="20"/>
                <w:highlight w:val="none"/>
                <w:lang w:val="en-US" w:eastAsia="zh-CN"/>
              </w:rPr>
            </w:r>
            <w:bookmarkStart w:id="1" w:name="_GoBack"/>
            <w:bookmarkEnd w:id="1"/>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05CADDB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14:paraId="01608185">
        <w:trPr>
          <w:jc w:val="center"/>
        </w:trPr>
        <w:tc>
          <w:tcPr>
            <w:tcW w:w="2014" w:type="dxa"/>
            <w:noWrap w:val="0"/>
            <w:vAlign w:val="center"/>
          </w:tcPr>
          <w:p w14:paraId="6BE55CD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14:paraId="5C7BF1A9">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2026年10月28日</w:t>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p>
        </w:tc>
      </w:tr>
      <w:tr w14:paraId="5D3AFC11">
        <w:trPr>
          <w:jc w:val="center"/>
        </w:trPr>
        <w:tc>
          <w:tcPr>
            <w:tcW w:w="2014" w:type="dxa"/>
            <w:noWrap w:val="0"/>
            <w:vAlign w:val="center"/>
          </w:tcPr>
          <w:p w14:paraId="075B65C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14:paraId="33D7D688">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2027年3月3日</w:t>
            </w:r>
            <w:r>
              <w:rPr>
                <w:rFonts w:hint="eastAsia" w:ascii="微软雅黑" w:hAnsi="微软雅黑" w:eastAsia="微软雅黑" w:cs="微软雅黑"/>
                <w:sz w:val="20"/>
                <w:szCs w:val="20"/>
                <w:highlight w:val="none"/>
              </w:rPr>
              <w:t>（以产品实际到期日为准）</w:t>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rPr>
            </w:r>
          </w:p>
        </w:tc>
      </w:tr>
      <w:tr w14:paraId="622B16B7">
        <w:trPr>
          <w:jc w:val="center"/>
        </w:trPr>
        <w:tc>
          <w:tcPr>
            <w:tcW w:w="2014" w:type="dxa"/>
            <w:noWrap w:val="0"/>
            <w:vAlign w:val="center"/>
          </w:tcPr>
          <w:p w14:paraId="403E4C3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14:paraId="35BBCE34">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u w:val="single"/>
              </w:rPr>
              <w:t>126</w:t>
            </w:r>
            <w:r>
              <w:rPr>
                <w:rFonts w:hint="eastAsia" w:ascii="微软雅黑" w:hAnsi="微软雅黑" w:eastAsia="微软雅黑" w:cs="微软雅黑"/>
                <w:sz w:val="20"/>
                <w:szCs w:val="20"/>
                <w:highlight w:val="none"/>
              </w:rPr>
              <w:t>天。实际产品期限受制于银行提前终止及产品到期条款，广东华润银行可根据情况进行调整。</w:t>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14:paraId="055C800C">
        <w:trPr>
          <w:jc w:val="center"/>
        </w:trPr>
        <w:tc>
          <w:tcPr>
            <w:tcW w:w="2014" w:type="dxa"/>
            <w:noWrap w:val="0"/>
            <w:vAlign w:val="center"/>
          </w:tcPr>
          <w:p w14:paraId="7959F3D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14:paraId="389CA39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14:paraId="351A3C8C">
        <w:trPr>
          <w:jc w:val="center"/>
        </w:trPr>
        <w:tc>
          <w:tcPr>
            <w:tcW w:w="2014" w:type="dxa"/>
            <w:noWrap w:val="0"/>
            <w:vAlign w:val="center"/>
          </w:tcPr>
          <w:p w14:paraId="6854AE51">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14:paraId="7B3CEC67">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认购起点金额为5万元；超过认购起点部分，以1000元递增。</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14:paraId="0D8EFCEE">
        <w:trPr>
          <w:jc w:val="center"/>
        </w:trPr>
        <w:tc>
          <w:tcPr>
            <w:tcW w:w="2014" w:type="dxa"/>
            <w:noWrap w:val="0"/>
            <w:vAlign w:val="center"/>
          </w:tcPr>
          <w:p w14:paraId="0B667E76">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14:paraId="700373DD">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14:paraId="5C7967F7">
        <w:trPr>
          <w:jc w:val="center"/>
        </w:trPr>
        <w:tc>
          <w:tcPr>
            <w:tcW w:w="2014" w:type="dxa"/>
            <w:noWrap w:val="0"/>
            <w:vAlign w:val="center"/>
          </w:tcPr>
          <w:p w14:paraId="23C30A8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14:paraId="79DE938B">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14:paraId="41886E61">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2026年10月21日9:00至2026年10月27日17:00，广东华润银行有权提前结束认购并调整相关日期。</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14:paraId="01396DD4">
        <w:trPr>
          <w:jc w:val="center"/>
        </w:trPr>
        <w:tc>
          <w:tcPr>
            <w:tcW w:w="2014" w:type="dxa"/>
            <w:noWrap w:val="0"/>
            <w:vAlign w:val="center"/>
          </w:tcPr>
          <w:p w14:paraId="22FAE17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14:paraId="7D25257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14:paraId="7EFB88C2">
        <w:trPr>
          <w:jc w:val="center"/>
        </w:trPr>
        <w:tc>
          <w:tcPr>
            <w:tcW w:w="2014" w:type="dxa"/>
            <w:noWrap w:val="0"/>
            <w:vAlign w:val="center"/>
          </w:tcPr>
          <w:p w14:paraId="06C552AD">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14:paraId="19F172C6">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14:paraId="0867A6FA">
        <w:trPr>
          <w:jc w:val="center"/>
        </w:trPr>
        <w:tc>
          <w:tcPr>
            <w:tcW w:w="2014" w:type="dxa"/>
            <w:noWrap w:val="0"/>
            <w:vAlign w:val="center"/>
          </w:tcPr>
          <w:p w14:paraId="76B5810C">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14:paraId="3C6344B2">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14:paraId="1139563F">
        <w:trPr>
          <w:trHeight w:val="322" w:hRule="atLeast"/>
          <w:jc w:val="center"/>
        </w:trPr>
        <w:tc>
          <w:tcPr>
            <w:tcW w:w="2014" w:type="dxa"/>
            <w:noWrap w:val="0"/>
            <w:vAlign w:val="center"/>
          </w:tcPr>
          <w:p w14:paraId="24AC640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14:paraId="01C96137">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14:paraId="48068A62">
        <w:trPr>
          <w:jc w:val="center"/>
        </w:trPr>
        <w:tc>
          <w:tcPr>
            <w:tcW w:w="2014" w:type="dxa"/>
            <w:noWrap w:val="0"/>
            <w:vAlign w:val="center"/>
          </w:tcPr>
          <w:p w14:paraId="4042AE2B">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14:paraId="1D182456">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管理人对本产品设定业绩比较基准：年化【1.35%,2.20%】</w:t>
            </w:r>
          </w:p>
          <w:p w14:paraId="5FE6E11E">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14:paraId="3EFCB7C8">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14:paraId="3D72F4C0">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14:paraId="5BDB0C86">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14:paraId="1E9C69EA">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14:paraId="1D563694">
        <w:trPr>
          <w:jc w:val="center"/>
        </w:trPr>
        <w:tc>
          <w:tcPr>
            <w:tcW w:w="2014" w:type="dxa"/>
            <w:noWrap w:val="0"/>
            <w:vAlign w:val="center"/>
          </w:tcPr>
          <w:p w14:paraId="1E3D5774">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14:paraId="6A46CAE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14:paraId="2C02D67B">
        <w:trPr>
          <w:jc w:val="center"/>
        </w:trPr>
        <w:tc>
          <w:tcPr>
            <w:tcW w:w="2014" w:type="dxa"/>
            <w:noWrap w:val="0"/>
            <w:vAlign w:val="center"/>
          </w:tcPr>
          <w:p w14:paraId="0439FD94">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14:paraId="7F3F4329">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14:paraId="35115E38">
        <w:trPr>
          <w:jc w:val="center"/>
        </w:trPr>
        <w:tc>
          <w:tcPr>
            <w:tcW w:w="2014" w:type="dxa"/>
            <w:noWrap w:val="0"/>
            <w:vAlign w:val="center"/>
          </w:tcPr>
          <w:p w14:paraId="5FEE65CA">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14:paraId="3F84F88D">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14:paraId="0127F8B5">
        <w:trPr>
          <w:jc w:val="center"/>
        </w:trPr>
        <w:tc>
          <w:tcPr>
            <w:tcW w:w="2014" w:type="dxa"/>
            <w:noWrap w:val="0"/>
            <w:vAlign w:val="center"/>
          </w:tcPr>
          <w:p w14:paraId="583B1C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14:paraId="012187B8">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14:paraId="318A671B">
      <w:pPr>
        <w:adjustRightInd/>
        <w:snapToGrid/>
        <w:spacing w:before="157" w:beforeLines="50" w:afterLines="0" w:line="320" w:lineRule="exact"/>
        <w:ind w:left="0" w:firstLine="0" w:firstLineChars="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14:paraId="5FFB8195">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14:paraId="33381B63">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14:paraId="75BF7248">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14:paraId="44154CA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14:paraId="7A75A7F1">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14:paraId="7B0F4293">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14:paraId="46129BD7">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14:paraId="3845ADBE">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14:paraId="5DEB86C6">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14:paraId="63BB4E77">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14:paraId="6AAF8EE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14:paraId="27397A5B">
      <w:pPr>
        <w:adjustRightInd/>
        <w:snapToGrid/>
        <w:spacing w:before="157" w:beforeLines="5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14:paraId="41B1AD41">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14:paraId="35E6771B">
        <w:trPr>
          <w:trHeight w:val="334" w:hRule="atLeast"/>
        </w:trPr>
        <w:tc>
          <w:tcPr>
            <w:tcW w:w="1214" w:type="dxa"/>
          </w:tcPr>
          <w:p w14:paraId="689D66C5">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14:paraId="634E8CF5">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14:paraId="50955B61">
        <w:tc>
          <w:tcPr>
            <w:tcW w:w="1214" w:type="dxa"/>
          </w:tcPr>
          <w:p w14:paraId="43460C92">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14:paraId="066919DA">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14:paraId="74ECF5CD">
        <w:tc>
          <w:tcPr>
            <w:tcW w:w="1214" w:type="dxa"/>
          </w:tcPr>
          <w:p w14:paraId="299AAA63">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14:paraId="4B1E5AB1">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14:paraId="2995C940">
        <w:tc>
          <w:tcPr>
            <w:tcW w:w="1214" w:type="dxa"/>
          </w:tcPr>
          <w:p w14:paraId="4A14963D">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14:paraId="52C39749">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14:paraId="711909C9">
      <w:pPr>
        <w:widowControl/>
        <w:kinsoku/>
        <w:autoSpaceDE/>
        <w:autoSpaceDN/>
        <w:adjustRightInd/>
        <w:snapToGrid/>
        <w:spacing w:before="157" w:beforeLines="50" w:afterLines="0" w:line="320" w:lineRule="exact"/>
        <w:ind w:left="0"/>
        <w:jc w:val="left"/>
        <w:textAlignment w:val="auto"/>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w:t>
      </w:r>
      <w:r>
        <w:rPr>
          <w:rFonts w:hint="eastAsia" w:ascii="微软雅黑" w:hAnsi="微软雅黑" w:eastAsia="微软雅黑" w:cs="微软雅黑"/>
          <w:b/>
          <w:bCs w:val="0"/>
          <w:snapToGrid/>
          <w:color w:val="auto"/>
          <w:spacing w:val="0"/>
          <w:kern w:val="2"/>
          <w:sz w:val="20"/>
          <w:szCs w:val="20"/>
          <w:highlight w:val="none"/>
          <w:lang w:val="en-US" w:eastAsia="zh-CN"/>
        </w:rPr>
        <w:t>服务</w:t>
      </w:r>
      <w:r>
        <w:rPr>
          <w:rFonts w:hint="eastAsia" w:ascii="微软雅黑" w:hAnsi="微软雅黑" w:eastAsia="微软雅黑" w:cs="微软雅黑"/>
          <w:b/>
          <w:bCs/>
          <w:snapToGrid w:val="0"/>
          <w:color w:val="000000"/>
          <w:spacing w:val="8"/>
          <w:kern w:val="0"/>
          <w:sz w:val="20"/>
          <w:szCs w:val="20"/>
          <w:lang w:val="en-US" w:eastAsia="zh-CN"/>
        </w:rPr>
        <w:t>机构</w:t>
      </w:r>
    </w:p>
    <w:p w14:paraId="15A9F6D4">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14:paraId="75DB1625">
        <w:tc>
          <w:tcPr>
            <w:tcW w:w="1640" w:type="dxa"/>
          </w:tcPr>
          <w:p w14:paraId="3EEC0DFB">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14:paraId="27C8015A">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14:paraId="36C4C812">
        <w:tc>
          <w:tcPr>
            <w:tcW w:w="1640" w:type="dxa"/>
          </w:tcPr>
          <w:p w14:paraId="2CBBD114">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14:paraId="68385F13">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14:paraId="7B41E312">
        <w:tc>
          <w:tcPr>
            <w:tcW w:w="1640" w:type="dxa"/>
          </w:tcPr>
          <w:p w14:paraId="65146308">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14:paraId="37D36CEF">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14:paraId="75D2B038">
        <w:tc>
          <w:tcPr>
            <w:tcW w:w="1640" w:type="dxa"/>
            <w:vAlign w:val="center"/>
          </w:tcPr>
          <w:p w14:paraId="77EEA48E">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14:paraId="439848EC">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14:paraId="0C99F011">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14:paraId="66C77F5F">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14:paraId="43AC56D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14:paraId="05A96FB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w:t>
      </w:r>
      <w:r>
        <w:rPr>
          <w:rFonts w:hint="eastAsia" w:ascii="微软雅黑" w:hAnsi="微软雅黑" w:eastAsia="微软雅黑" w:cs="微软雅黑"/>
          <w:sz w:val="20"/>
          <w:szCs w:val="20"/>
          <w:highlight w:val="none"/>
          <w:lang w:eastAsia="zh-CN"/>
        </w:rPr>
        <w:t>债务</w:t>
      </w:r>
      <w:r>
        <w:rPr>
          <w:rFonts w:hint="eastAsia" w:ascii="微软雅黑" w:hAnsi="微软雅黑" w:eastAsia="微软雅黑" w:cs="微软雅黑"/>
          <w:sz w:val="20"/>
          <w:szCs w:val="20"/>
          <w:highlight w:val="none"/>
        </w:rPr>
        <w:t>融资工具（PPN）、二级资本债、债券型基金等标准化债权资产；信托贷款（含可续期信托贷款）、应收账款、收益权转让、承兑汇票、信用证、收益凭证等非标准化债权资产；以及监管部门认可的其他金融投资工具。</w:t>
      </w:r>
    </w:p>
    <w:p w14:paraId="7E3BEC9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14:paraId="455A4427">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b/>
          <w:bCs/>
          <w:sz w:val="20"/>
          <w:szCs w:val="20"/>
          <w:highlight w:val="none"/>
        </w:rPr>
        <w:t>本产品</w:t>
      </w:r>
      <w:r>
        <w:rPr>
          <w:rFonts w:hint="eastAsia" w:ascii="微软雅黑" w:hAnsi="微软雅黑" w:eastAsia="微软雅黑" w:cs="微软雅黑"/>
          <w:b/>
          <w:bCs/>
          <w:sz w:val="20"/>
          <w:szCs w:val="20"/>
          <w:highlight w:val="none"/>
          <w:lang w:val="en-US" w:eastAsia="zh-CN"/>
        </w:rPr>
        <w:t>可能</w:t>
      </w:r>
      <w:r>
        <w:rPr>
          <w:rFonts w:hint="eastAsia" w:ascii="微软雅黑" w:hAnsi="微软雅黑" w:eastAsia="微软雅黑" w:cs="微软雅黑"/>
          <w:b/>
          <w:bCs/>
          <w:sz w:val="20"/>
          <w:szCs w:val="20"/>
          <w:highlight w:val="none"/>
        </w:rPr>
        <w:t>投资不存在活跃交易市场，并且需要采用估值技术确定公允价值的资产</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且投资上述资产的比例不超过</w:t>
      </w:r>
      <w:r>
        <w:rPr>
          <w:rFonts w:hint="eastAsia" w:ascii="微软雅黑" w:hAnsi="微软雅黑" w:eastAsia="微软雅黑" w:cs="微软雅黑"/>
          <w:b/>
          <w:bCs/>
          <w:sz w:val="20"/>
          <w:szCs w:val="20"/>
          <w:highlight w:val="none"/>
        </w:rPr>
        <w:t>理财产品净</w:t>
      </w:r>
      <w:r>
        <w:rPr>
          <w:rFonts w:hint="eastAsia" w:ascii="微软雅黑" w:hAnsi="微软雅黑" w:eastAsia="微软雅黑" w:cs="微软雅黑"/>
          <w:b/>
          <w:bCs/>
          <w:sz w:val="20"/>
          <w:szCs w:val="20"/>
          <w:highlight w:val="none"/>
          <w:lang w:val="en-US" w:eastAsia="zh-CN"/>
        </w:rPr>
        <w:t>资产</w:t>
      </w:r>
      <w:r>
        <w:rPr>
          <w:rFonts w:hint="eastAsia" w:ascii="微软雅黑" w:hAnsi="微软雅黑" w:eastAsia="微软雅黑" w:cs="微软雅黑"/>
          <w:b/>
          <w:bCs/>
          <w:sz w:val="20"/>
          <w:szCs w:val="20"/>
          <w:highlight w:val="none"/>
        </w:rPr>
        <w:t>50%。</w:t>
      </w:r>
    </w:p>
    <w:p w14:paraId="18237FB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14:paraId="6AA1DA30">
      <w:pPr>
        <w:adjustRightInd w:val="0"/>
        <w:snapToGrid w:val="0"/>
        <w:spacing w:beforeLines="0" w:afterLines="0" w:line="320" w:lineRule="exact"/>
        <w:ind w:left="0"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14:paraId="69156287">
        <w:tc>
          <w:tcPr>
            <w:tcW w:w="3727" w:type="dxa"/>
            <w:noWrap w:val="0"/>
            <w:vAlign w:val="top"/>
          </w:tcPr>
          <w:p w14:paraId="66BACAE6">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14:paraId="232DA003">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14:paraId="4E261643">
        <w:tc>
          <w:tcPr>
            <w:tcW w:w="3727" w:type="dxa"/>
            <w:noWrap w:val="0"/>
            <w:vAlign w:val="top"/>
          </w:tcPr>
          <w:p w14:paraId="56EF57BA">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14:paraId="51543223">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14:paraId="4471E38D">
        <w:tc>
          <w:tcPr>
            <w:tcW w:w="3727" w:type="dxa"/>
            <w:noWrap w:val="0"/>
            <w:vAlign w:val="top"/>
          </w:tcPr>
          <w:p w14:paraId="7388EAA1">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14:paraId="13E41DFE">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14:paraId="7D692454">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14:paraId="282B4F20">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14:paraId="2BE7CB29">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14:paraId="3E033A3A">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14:paraId="2049EB3D">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14:paraId="41C443D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14:paraId="6BF43CB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14:paraId="1ECDC6B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14:paraId="1A5DB436">
      <w:pPr>
        <w:adjustRightInd w:val="0"/>
        <w:snapToGrid w:val="0"/>
        <w:spacing w:before="157" w:beforeLines="5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14:paraId="006BCE1C">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14:paraId="4789B17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1.产品登记日：本理财产品于2026年10月28日进行认购登记。</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6DE0BD7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14:paraId="73BD552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14:paraId="7757F76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14:paraId="48D0F19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（3）认购撤单：认购期内允许全部或者部分撤销已递交的认购申请，部分撤销只适用于客户多次认购的情况，客户必须对应每笔认购逐笔撤销，部分撤销后剩余的各笔认购总金额不得低于5万元；</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01D2B17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14:paraId="282D2E72">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14:paraId="291D608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14:paraId="0C2011AB">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14:paraId="6482945C">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14:paraId="19685542">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14:paraId="6DB55FA0">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14:paraId="7A631985">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1.本理财产品到期日为2027年3月3日（以实际到期日为准），如有调整将至少提前2个工作日根据约定方式进行信息披露。</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14:paraId="3BA53D17">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14:paraId="0121AB0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w:t>
      </w:r>
      <w:r>
        <w:rPr>
          <w:rFonts w:hint="default" w:ascii="微软雅黑" w:hAnsi="微软雅黑" w:eastAsia="微软雅黑" w:cs="微软雅黑"/>
          <w:sz w:val="20"/>
          <w:szCs w:val="20"/>
          <w:highlight w:val="none"/>
          <w:lang w:val="en-US"/>
        </w:rPr>
        <w:t>3</w:t>
      </w:r>
      <w:r>
        <w:rPr>
          <w:rFonts w:hint="eastAsia" w:ascii="微软雅黑" w:hAnsi="微软雅黑" w:eastAsia="微软雅黑" w:cs="微软雅黑"/>
          <w:sz w:val="20"/>
          <w:szCs w:val="20"/>
          <w:highlight w:val="none"/>
        </w:rPr>
        <w:t>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default"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lang w:val="en-US" w:eastAsia="zh-CN"/>
        </w:rPr>
        <w:t>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14:paraId="63AD2FFF">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14:paraId="5CF0E8D6">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14:paraId="3ABFFA8E">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14:paraId="207A840A">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14:paraId="6B9BF3A7">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14:paraId="54C49F1C">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14:paraId="60EB96A8">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14:paraId="50247E2B">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14:paraId="572CA045">
      <w:pPr>
        <w:numPr>
          <w:ilvl w:val="-1"/>
          <w:numId w:val="0"/>
        </w:numPr>
        <w:autoSpaceDE/>
        <w:autoSpaceDN/>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14:paraId="337B8614">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14:paraId="10F73E97">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14:paraId="186D7BA9">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14:paraId="0B93B1BF">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14:paraId="3C026A62">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14:paraId="012463BD">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则超过部分作为管理人的浮动管理费（未超过业绩比较基准区间的上限时，管理人不计提浮动管理费）。投资者持有的产品份额赎回/到期/终止时，产品份额持有期间的年化收益率未达到业绩比较基准下限，广东华润银行有权选择是否启用回拨机制，即以已计提的固定管理费和销售手续费为上限对投资者进行回拨，回拨后产品份额持有期间的年化收益率不超过业绩比较基准下限。</w:t>
      </w:r>
    </w:p>
    <w:p w14:paraId="36135C96">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14:paraId="23968174">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14:paraId="1ACF339C">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14:paraId="6331AD15">
      <w:pPr>
        <w:numPr>
          <w:ilvl w:val="-1"/>
          <w:numId w:val="0"/>
        </w:numPr>
        <w:adjustRightInd w:val="0"/>
        <w:snapToGrid w:val="0"/>
        <w:spacing w:before="157" w:beforeLines="5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14:paraId="3CFA88BB">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14:paraId="68E79983">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14:paraId="43AD5CEB">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14:paraId="2F7DB129">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14:paraId="7B480EE0">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14:paraId="514EC18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14:paraId="49ABA30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14:paraId="582C604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14:paraId="0E9F326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14:paraId="3ED0C70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14:paraId="1496019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14:paraId="155CBFCA">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14:paraId="38EB521E">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14:paraId="12634FC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14:paraId="6FBB43CF">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lang w:eastAsia="zh-CN"/>
        </w:rPr>
        <w:t>有权选择是否启用回拨机制</w:t>
      </w:r>
      <w:r>
        <w:rPr>
          <w:rFonts w:hint="eastAsia" w:ascii="微软雅黑" w:hAnsi="微软雅黑" w:eastAsia="微软雅黑" w:cs="微软雅黑"/>
          <w:sz w:val="20"/>
          <w:szCs w:val="20"/>
          <w:highlight w:val="none"/>
          <w:lang w:val="en-US" w:eastAsia="zh-CN"/>
        </w:rPr>
        <w:t>。</w:t>
      </w:r>
    </w:p>
    <w:p w14:paraId="022ED09A">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14:paraId="21217A25">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广东华润银行</w:t>
      </w:r>
      <w:r>
        <w:rPr>
          <w:rFonts w:hint="eastAsia" w:ascii="微软雅黑" w:hAnsi="微软雅黑" w:eastAsia="微软雅黑" w:cs="微软雅黑"/>
          <w:sz w:val="20"/>
          <w:szCs w:val="20"/>
          <w:highlight w:val="none"/>
        </w:rPr>
        <w:t>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14:paraId="2E269C96">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14:paraId="4A87A2DB">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14:paraId="304340E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14:paraId="248452C5">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14:paraId="0B9D4E20">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14:paraId="1FDE3FFC">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14:paraId="5C6EDC55">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14:paraId="39775A21">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14:paraId="2333D35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14:paraId="28D4131B">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14:paraId="0E1E31FC">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14:paraId="3EF5F3C1">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14:paraId="19ACEC8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14:paraId="6A9735A3">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14:paraId="5E243D0A">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14:paraId="02635FB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14:paraId="1C344D56">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14:paraId="6E5D4BE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14:paraId="5ADDD793">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14:paraId="66F89C78">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14:paraId="75CDE1D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14:paraId="71FA207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w:t>
      </w:r>
      <w:r>
        <w:rPr>
          <w:rFonts w:hint="eastAsia" w:ascii="微软雅黑" w:hAnsi="微软雅黑" w:eastAsia="微软雅黑" w:cs="微软雅黑"/>
          <w:sz w:val="20"/>
          <w:szCs w:val="20"/>
          <w:highlight w:val="none"/>
          <w:lang w:val="en-US" w:eastAsia="zh-CN"/>
        </w:rPr>
        <w:t>资产，如</w:t>
      </w:r>
      <w:r>
        <w:rPr>
          <w:rFonts w:hint="eastAsia" w:ascii="微软雅黑" w:hAnsi="微软雅黑" w:eastAsia="微软雅黑" w:cs="微软雅黑"/>
          <w:sz w:val="20"/>
          <w:szCs w:val="20"/>
          <w:highlight w:val="none"/>
        </w:rPr>
        <w:t>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14:paraId="0C908B8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14:paraId="323C0E5E">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14:paraId="304F82DC">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14:paraId="5316667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14:paraId="6270DC0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14:paraId="2A8DE191">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14:paraId="7DCFA3DD">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14:paraId="0700B93F">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14:paraId="68EE27E3">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14:paraId="77B55DDC">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14:paraId="1868E918">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14:paraId="405F6EA3">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14:paraId="2BF1F88A">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14:paraId="65D8630F">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14:paraId="6603A570">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14:paraId="7133F401">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14:paraId="46621269">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14:paraId="0742701F">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14:paraId="0E2F4E60">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14:paraId="6ED6FED6">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14:paraId="098FDA65">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根据理财产品管理人和理财产品托管人协商的方法，由理财产品管理人和理财产品托管人共同进行更正，由估值错误的责任方进行赔偿损失。</w:t>
      </w:r>
    </w:p>
    <w:p w14:paraId="7FE6A7A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14:paraId="439099F2">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14:paraId="55010668">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14:paraId="6C9DA3BF">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14:paraId="6DCCE243">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14:paraId="44D135D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14:paraId="45AFB589">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14:paraId="1230C877">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14:paraId="63606E76">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14:paraId="0AB7D4C3">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14:paraId="7A29D431">
      <w:pPr>
        <w:keepNext w:val="0"/>
        <w:keepLines w:val="0"/>
        <w:pageBreakBefore w:val="0"/>
        <w:widowControl w:val="0"/>
        <w:numPr>
          <w:ilvl w:val="-1"/>
          <w:numId w:val="0"/>
        </w:numPr>
        <w:kinsoku/>
        <w:wordWrap/>
        <w:overflowPunct/>
        <w:topLinePunct w:val="0"/>
        <w:autoSpaceDE/>
        <w:autoSpaceDN/>
        <w:bidi w:val="0"/>
        <w:spacing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14:paraId="43E9D313">
      <w:pPr>
        <w:keepNext w:val="0"/>
        <w:keepLines w:val="0"/>
        <w:pageBreakBefore w:val="0"/>
        <w:widowControl w:val="0"/>
        <w:kinsoku/>
        <w:wordWrap/>
        <w:overflowPunct/>
        <w:topLinePunct w:val="0"/>
        <w:autoSpaceDE/>
        <w:autoSpaceDN/>
        <w:bidi w:val="0"/>
        <w:adjustRightInd w:val="0"/>
        <w:snapToGrid w:val="0"/>
        <w:spacing w:line="320" w:lineRule="exact"/>
        <w:ind w:left="0" w:right="0" w:firstLine="400" w:firstLineChars="200"/>
        <w:textAlignment w:val="auto"/>
        <w:rPr>
          <w:rFonts w:hint="default" w:ascii="微软雅黑" w:hAnsi="微软雅黑" w:eastAsia="微软雅黑" w:cs="微软雅黑"/>
          <w:b/>
          <w:bCs/>
          <w:sz w:val="20"/>
          <w:szCs w:val="20"/>
          <w:lang w:val="en-US" w:eastAsia="zh-CN"/>
        </w:rPr>
      </w:pPr>
      <w:r>
        <w:rPr>
          <w:rFonts w:hint="eastAsia" w:ascii="微软雅黑" w:hAnsi="微软雅黑" w:eastAsia="微软雅黑" w:cs="微软雅黑"/>
          <w:b/>
          <w:bCs/>
          <w:sz w:val="20"/>
          <w:szCs w:val="20"/>
          <w:lang w:val="en-US" w:eastAsia="zh-CN"/>
        </w:rPr>
        <w:t>十、风险</w:t>
      </w:r>
      <w:r>
        <w:rPr>
          <w:rFonts w:hint="eastAsia" w:ascii="微软雅黑" w:hAnsi="微软雅黑" w:eastAsia="微软雅黑" w:cs="微软雅黑"/>
          <w:b/>
          <w:bCs w:val="0"/>
          <w:sz w:val="20"/>
          <w:szCs w:val="20"/>
          <w:highlight w:val="none"/>
          <w:lang w:val="en-US" w:eastAsia="zh-CN"/>
        </w:rPr>
        <w:t>提示</w:t>
      </w:r>
    </w:p>
    <w:p w14:paraId="6CA9D06E">
      <w:pPr>
        <w:keepNext w:val="0"/>
        <w:keepLines w:val="0"/>
        <w:pageBreakBefore w:val="0"/>
        <w:widowControl w:val="0"/>
        <w:numPr>
          <w:ilvl w:val="-1"/>
          <w:numId w:val="0"/>
        </w:numPr>
        <w:kinsoku/>
        <w:wordWrap/>
        <w:overflowPunct/>
        <w:topLinePunct w:val="0"/>
        <w:autoSpaceDE/>
        <w:autoSpaceDN/>
        <w:bidi w:val="0"/>
        <w:spacing w:afterLines="0" w:line="320" w:lineRule="exact"/>
        <w:ind w:firstLine="400" w:firstLineChars="200"/>
        <w:textAlignment w:val="auto"/>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管理人对本理财产品的本金和收益不提供保证承诺，投资者的本金可能因市场变动而蒙受重大损失，投资者应充分认识投资风险，谨慎投资。</w:t>
      </w:r>
    </w:p>
    <w:p w14:paraId="41E98E7F">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有投资风险，不保证理财本金和收益，投资者应该充分认识投资风险，谨慎投资。本理财产品面临的风险主要包括本金及理财收益风险、政策风险、信用风险、市场风险、利率风险、流动性风险、再投资风险、管理人风险、产品不成立风险、信息传递风险、操作风险、不可抗力及意外风险等，管理人将以投资者利益最大化为宗旨进行投资运作，并审慎管理本理财产品风险，但不承诺本理财产品不受损失，亦不承诺本理财产品的最低收益。本理财产品风险揭示及产品风险管理措施内容详见本理财产品《风险揭示书》，请投资者详细阅读，在充分了解并清楚知晓本理财产品蕴含风险的基础上，通过自身判断自主参与交易，并自愿承担相关风险。</w:t>
      </w:r>
    </w:p>
    <w:p w14:paraId="1434BFAF">
      <w:pPr>
        <w:adjustRightInd w:val="0"/>
        <w:snapToGrid w:val="0"/>
        <w:spacing w:before="157" w:beforeLines="5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十一</w:t>
      </w:r>
      <w:r>
        <w:rPr>
          <w:rFonts w:hint="eastAsia" w:ascii="微软雅黑" w:hAnsi="微软雅黑" w:eastAsia="微软雅黑" w:cs="微软雅黑"/>
          <w:b/>
          <w:sz w:val="20"/>
          <w:szCs w:val="20"/>
          <w:highlight w:val="none"/>
        </w:rPr>
        <w:t>、信息披露</w:t>
      </w:r>
    </w:p>
    <w:p w14:paraId="4F91821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w:t>
      </w:r>
      <w:r>
        <w:rPr>
          <w:rFonts w:hint="eastAsia" w:ascii="微软雅黑" w:hAnsi="微软雅黑" w:eastAsia="微软雅黑" w:cs="微软雅黑"/>
          <w:sz w:val="20"/>
          <w:szCs w:val="20"/>
          <w:highlight w:val="none"/>
          <w:lang w:val="en-US" w:eastAsia="zh-CN"/>
        </w:rPr>
        <w:t>中国理财网</w:t>
      </w:r>
      <w:r>
        <w:rPr>
          <w:rFonts w:hint="eastAsia" w:ascii="微软雅黑" w:hAnsi="微软雅黑" w:eastAsia="微软雅黑" w:cs="微软雅黑"/>
          <w:sz w:val="20"/>
          <w:szCs w:val="20"/>
          <w:highlight w:val="none"/>
        </w:rPr>
        <w:t>或官方网站</w:t>
      </w:r>
      <w:r>
        <w:rPr>
          <w:rFonts w:hint="eastAsia" w:ascii="微软雅黑" w:hAnsi="微软雅黑" w:eastAsia="微软雅黑" w:cs="微软雅黑"/>
          <w:sz w:val="20"/>
          <w:szCs w:val="20"/>
          <w:highlight w:val="none"/>
          <w:lang w:val="en-US" w:eastAsia="zh-CN"/>
        </w:rPr>
        <w:t>或</w:t>
      </w:r>
      <w:r>
        <w:rPr>
          <w:rFonts w:hint="eastAsia" w:ascii="微软雅黑" w:hAnsi="微软雅黑" w:eastAsia="微软雅黑" w:cs="微软雅黑"/>
          <w:sz w:val="20"/>
          <w:szCs w:val="20"/>
          <w:highlight w:val="none"/>
        </w:rPr>
        <w:t>各营业网点或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14:paraId="5A7023F2">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发布“产品不成立公告”。</w:t>
      </w:r>
    </w:p>
    <w:p w14:paraId="432E3A34">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个工作日内，发布“产品提前终止公告”。</w:t>
      </w:r>
    </w:p>
    <w:p w14:paraId="10E39539">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w:t>
      </w:r>
      <w:r>
        <w:rPr>
          <w:rFonts w:hint="eastAsia" w:ascii="微软雅黑" w:hAnsi="微软雅黑" w:eastAsia="微软雅黑" w:cs="微软雅黑"/>
          <w:sz w:val="20"/>
          <w:szCs w:val="20"/>
          <w:highlight w:val="none"/>
          <w:lang w:val="en-US" w:eastAsia="zh-CN"/>
        </w:rPr>
        <w:t>个工作日</w:t>
      </w:r>
      <w:r>
        <w:rPr>
          <w:rFonts w:hint="eastAsia" w:ascii="微软雅黑" w:hAnsi="微软雅黑" w:eastAsia="微软雅黑" w:cs="微软雅黑"/>
          <w:sz w:val="20"/>
          <w:szCs w:val="20"/>
          <w:highlight w:val="none"/>
        </w:rPr>
        <w:t>内，披露本理财产品的季度报告，每年8月31日前披露本理财产品的半年度报告，每年4月30日前披露本理财产品上一年度的年度报告，向投资者披露产品投资状况、投资表现、风险状况等信息。</w:t>
      </w:r>
      <w:r>
        <w:rPr>
          <w:rFonts w:hint="eastAsia" w:ascii="微软雅黑" w:hAnsi="微软雅黑" w:eastAsia="微软雅黑" w:cs="微软雅黑"/>
          <w:sz w:val="20"/>
          <w:szCs w:val="20"/>
          <w:highlight w:val="none"/>
          <w:lang w:val="en-US" w:eastAsia="zh-CN"/>
        </w:rPr>
        <w:t>理财产品</w:t>
      </w:r>
      <w:r>
        <w:rPr>
          <w:rFonts w:hint="eastAsia" w:ascii="微软雅黑" w:hAnsi="微软雅黑" w:eastAsia="微软雅黑" w:cs="微软雅黑"/>
          <w:sz w:val="20"/>
          <w:szCs w:val="20"/>
          <w:highlight w:val="none"/>
        </w:rPr>
        <w:t>成立不足九十个自然日的，可以不编制当期的季度、半年和年度报告。</w:t>
      </w:r>
    </w:p>
    <w:p w14:paraId="5FC9E39F">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个工作日发布公告。</w:t>
      </w:r>
    </w:p>
    <w:p w14:paraId="34B5F100">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14:paraId="6FFBC829">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14:paraId="4DF5E69F">
      <w:pPr>
        <w:keepNext w:val="0"/>
        <w:keepLines w:val="0"/>
        <w:pageBreakBefore w:val="0"/>
        <w:widowControl w:val="0"/>
        <w:kinsoku/>
        <w:wordWrap/>
        <w:overflowPunct/>
        <w:topLinePunct w:val="0"/>
        <w:autoSpaceDE/>
        <w:autoSpaceDN/>
        <w:bidi w:val="0"/>
        <w:adjustRightInd/>
        <w:snapToGrid/>
        <w:spacing w:afterLines="0" w:line="320" w:lineRule="exact"/>
        <w:ind w:firstLine="400" w:firstLineChars="200"/>
        <w:textAlignment w:val="auto"/>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二</w:t>
      </w:r>
      <w:r>
        <w:rPr>
          <w:rFonts w:hint="eastAsia" w:ascii="微软雅黑" w:hAnsi="微软雅黑" w:eastAsia="微软雅黑" w:cs="微软雅黑"/>
          <w:b/>
          <w:bCs/>
          <w:sz w:val="20"/>
          <w:szCs w:val="20"/>
          <w:highlight w:val="none"/>
        </w:rPr>
        <w:t>、</w:t>
      </w:r>
      <w:r>
        <w:rPr>
          <w:rFonts w:hint="eastAsia" w:ascii="微软雅黑" w:hAnsi="微软雅黑" w:eastAsia="微软雅黑" w:cs="微软雅黑"/>
          <w:b/>
          <w:bCs w:val="0"/>
          <w:sz w:val="20"/>
          <w:szCs w:val="20"/>
          <w:highlight w:val="none"/>
        </w:rPr>
        <w:t>其他</w:t>
      </w:r>
    </w:p>
    <w:p w14:paraId="7BE49ECD">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14:paraId="458557C8">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14:paraId="229052FD">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14:paraId="53A3D66B">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14:paraId="24040875">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14:paraId="4D338093">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14:paraId="52E34EB5">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14:paraId="1CCCD0B3">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14:paraId="7D7C98A7">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14:paraId="0EF118C2">
      <w:pPr>
        <w:keepNext w:val="0"/>
        <w:keepLines w:val="0"/>
        <w:widowControl/>
        <w:suppressLineNumbers w:val="0"/>
        <w:wordWrap/>
        <w:spacing w:beforeLines="0" w:afterLines="0" w:line="320" w:lineRule="exact"/>
        <w:ind w:firstLine="4334" w:firstLineChars="1900"/>
        <w:jc w:val="center"/>
        <w:rPr>
          <w:rFonts w:hint="default" w:ascii="微软雅黑" w:hAnsi="微软雅黑" w:eastAsia="微软雅黑" w:cs="微软雅黑"/>
          <w:b/>
          <w:bCs/>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投资者（签署）：</w:t>
      </w:r>
    </w:p>
    <w:p w14:paraId="2C025C7C">
      <w:pPr>
        <w:widowControl/>
        <w:spacing w:beforeLines="0" w:afterLines="0" w:line="320" w:lineRule="exact"/>
        <w:ind w:firstLine="5931" w:firstLineChars="2600"/>
        <w:jc w:val="left"/>
        <w:rPr>
          <w:b/>
          <w:bCs/>
        </w:rPr>
      </w:pPr>
      <w:r>
        <w:rPr>
          <w:rFonts w:hint="eastAsia" w:ascii="微软雅黑" w:hAnsi="微软雅黑" w:eastAsia="微软雅黑" w:cs="微软雅黑"/>
          <w:b/>
          <w:bCs/>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微软雅黑">
    <w:altName w:val="方正雅意黑 GB18030L2"/>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方正黑体简体">
    <w:panose1 w:val="02000000000000000000"/>
    <w:charset w:val="86"/>
    <w:family w:val="auto"/>
    <w:pitch w:val="default"/>
    <w:sig w:usb0="A00002BF" w:usb1="184F6CFA" w:usb2="00000012" w:usb3="00000000" w:csb0="00040001" w:csb1="00000000"/>
  </w:font>
  <w:font w:name="方正雅意黑 GB18030L2">
    <w:panose1 w:val="02000500000000000000"/>
    <w:charset w:val="86"/>
    <w:family w:val="auto"/>
    <w:pitch w:val="default"/>
    <w:sig w:usb0="E00002FF" w:usb1="38CFFCFB" w:usb2="00000016" w:usb3="00000000" w:csb0="600401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3609C">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636CBB">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636CBB">
                    <w:pPr>
                      <w:pStyle w:val="3"/>
                    </w:pPr>
                    <w:r>
                      <w:fldChar w:fldCharType="begin"/>
                    </w:r>
                    <w:r>
                      <w:instrText xml:space="preserve"> PAGE  \* MERGEFORMAT </w:instrText>
                    </w:r>
                    <w:r>
                      <w:fldChar w:fldCharType="separate"/>
                    </w:r>
                    <w:r>
                      <w:t>1</w:t>
                    </w:r>
                    <w:r>
                      <w:fldChar w:fldCharType="end"/>
                    </w:r>
                  </w:p>
                </w:txbxContent>
              </v:textbox>
            </v:shape>
          </w:pict>
        </mc:Fallback>
      </mc:AlternateContent>
    </w:r>
  </w:p>
  <w:p w14:paraId="29D38E71">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6F59A">
    <w:pPr>
      <w:pStyle w:val="4"/>
      <w:pBdr>
        <w:bottom w:val="single" w:color="auto" w:sz="4" w:space="0"/>
      </w:pBdr>
      <w:jc w:val="left"/>
      <w:rPr>
        <w:rFonts w:hint="eastAsia" w:eastAsia="宋体"/>
        <w:lang w:eastAsia="zh-CN"/>
      </w:rPr>
    </w:pPr>
  </w:p>
  <w:p w14:paraId="11E2D041">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202609</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A732AA"/>
    <w:rsid w:val="01306075"/>
    <w:rsid w:val="01881AE7"/>
    <w:rsid w:val="018B7376"/>
    <w:rsid w:val="019002E5"/>
    <w:rsid w:val="02165FC0"/>
    <w:rsid w:val="02714A26"/>
    <w:rsid w:val="03B414CE"/>
    <w:rsid w:val="03BF2E4E"/>
    <w:rsid w:val="05821EFC"/>
    <w:rsid w:val="05AD1DE5"/>
    <w:rsid w:val="05CD394E"/>
    <w:rsid w:val="06205A84"/>
    <w:rsid w:val="065F6EC9"/>
    <w:rsid w:val="06FF7018"/>
    <w:rsid w:val="070F59AD"/>
    <w:rsid w:val="07597FA2"/>
    <w:rsid w:val="07D91F33"/>
    <w:rsid w:val="09825DF4"/>
    <w:rsid w:val="0A1261A7"/>
    <w:rsid w:val="0A9642EF"/>
    <w:rsid w:val="0AD91639"/>
    <w:rsid w:val="0B2E0241"/>
    <w:rsid w:val="0D874889"/>
    <w:rsid w:val="0E9575B0"/>
    <w:rsid w:val="0EEC3F08"/>
    <w:rsid w:val="0F394F64"/>
    <w:rsid w:val="10475161"/>
    <w:rsid w:val="11B15138"/>
    <w:rsid w:val="12A13A06"/>
    <w:rsid w:val="12F30933"/>
    <w:rsid w:val="12F955D8"/>
    <w:rsid w:val="13780584"/>
    <w:rsid w:val="13AC247C"/>
    <w:rsid w:val="1408101E"/>
    <w:rsid w:val="140B2F8F"/>
    <w:rsid w:val="141E4DEA"/>
    <w:rsid w:val="142802AA"/>
    <w:rsid w:val="147F0567"/>
    <w:rsid w:val="148D33AC"/>
    <w:rsid w:val="149C3A86"/>
    <w:rsid w:val="14B15E18"/>
    <w:rsid w:val="150C3673"/>
    <w:rsid w:val="16553151"/>
    <w:rsid w:val="16905BDF"/>
    <w:rsid w:val="16F22773"/>
    <w:rsid w:val="17AD0B64"/>
    <w:rsid w:val="181D63C5"/>
    <w:rsid w:val="1B391A14"/>
    <w:rsid w:val="1B5202EC"/>
    <w:rsid w:val="1B7D18F3"/>
    <w:rsid w:val="1B802337"/>
    <w:rsid w:val="1C471657"/>
    <w:rsid w:val="1FB2359F"/>
    <w:rsid w:val="202A0D43"/>
    <w:rsid w:val="2168501B"/>
    <w:rsid w:val="22E77109"/>
    <w:rsid w:val="235C4EC8"/>
    <w:rsid w:val="23F54552"/>
    <w:rsid w:val="2503174A"/>
    <w:rsid w:val="25C920B0"/>
    <w:rsid w:val="270F5E5A"/>
    <w:rsid w:val="27C3535E"/>
    <w:rsid w:val="288E09D9"/>
    <w:rsid w:val="29327EFA"/>
    <w:rsid w:val="2A86235F"/>
    <w:rsid w:val="2B6A1BCA"/>
    <w:rsid w:val="2B80553F"/>
    <w:rsid w:val="2BB970C4"/>
    <w:rsid w:val="2BE84159"/>
    <w:rsid w:val="2C1C20A9"/>
    <w:rsid w:val="2C437C4E"/>
    <w:rsid w:val="2CD41B44"/>
    <w:rsid w:val="2DCA19E9"/>
    <w:rsid w:val="2F2A406E"/>
    <w:rsid w:val="2F7C7864"/>
    <w:rsid w:val="2FB03A92"/>
    <w:rsid w:val="319C645D"/>
    <w:rsid w:val="31E8402B"/>
    <w:rsid w:val="32DC13E4"/>
    <w:rsid w:val="340140E6"/>
    <w:rsid w:val="357E1023"/>
    <w:rsid w:val="35AA05FA"/>
    <w:rsid w:val="36095C1C"/>
    <w:rsid w:val="365917BD"/>
    <w:rsid w:val="379538B3"/>
    <w:rsid w:val="37AF0E2E"/>
    <w:rsid w:val="37F6B6AD"/>
    <w:rsid w:val="38C20218"/>
    <w:rsid w:val="39B82E07"/>
    <w:rsid w:val="39D977EC"/>
    <w:rsid w:val="3A38092F"/>
    <w:rsid w:val="3AE3718A"/>
    <w:rsid w:val="3BDD601C"/>
    <w:rsid w:val="3D9E622F"/>
    <w:rsid w:val="3DD62575"/>
    <w:rsid w:val="3E7A6E3D"/>
    <w:rsid w:val="3EE9180A"/>
    <w:rsid w:val="3F986A32"/>
    <w:rsid w:val="3FB3793B"/>
    <w:rsid w:val="402A10C5"/>
    <w:rsid w:val="409147A1"/>
    <w:rsid w:val="41392DB8"/>
    <w:rsid w:val="41F10240"/>
    <w:rsid w:val="43E401C6"/>
    <w:rsid w:val="44CE606F"/>
    <w:rsid w:val="453C2BC4"/>
    <w:rsid w:val="453D75E9"/>
    <w:rsid w:val="45585AA1"/>
    <w:rsid w:val="46846E66"/>
    <w:rsid w:val="46AE62C2"/>
    <w:rsid w:val="46BC7146"/>
    <w:rsid w:val="471E510B"/>
    <w:rsid w:val="47F76C91"/>
    <w:rsid w:val="49EE531F"/>
    <w:rsid w:val="4ABD369F"/>
    <w:rsid w:val="4AD8186E"/>
    <w:rsid w:val="4AF16BBD"/>
    <w:rsid w:val="4BDD7BC2"/>
    <w:rsid w:val="4CB074DF"/>
    <w:rsid w:val="4EE91359"/>
    <w:rsid w:val="4F573BE1"/>
    <w:rsid w:val="4FA030D2"/>
    <w:rsid w:val="5007118A"/>
    <w:rsid w:val="50FB1E76"/>
    <w:rsid w:val="523B6595"/>
    <w:rsid w:val="52AA0B9F"/>
    <w:rsid w:val="532B2EE7"/>
    <w:rsid w:val="536E6363"/>
    <w:rsid w:val="53C934A7"/>
    <w:rsid w:val="54687333"/>
    <w:rsid w:val="5559781E"/>
    <w:rsid w:val="55C20EA3"/>
    <w:rsid w:val="569B42B8"/>
    <w:rsid w:val="59FD2DF2"/>
    <w:rsid w:val="5BE432C5"/>
    <w:rsid w:val="5CD3789B"/>
    <w:rsid w:val="5F8B5555"/>
    <w:rsid w:val="5F9F79E6"/>
    <w:rsid w:val="5FC85FA2"/>
    <w:rsid w:val="600B0AC0"/>
    <w:rsid w:val="60567BFB"/>
    <w:rsid w:val="608A0BA3"/>
    <w:rsid w:val="60A60246"/>
    <w:rsid w:val="60AC2D12"/>
    <w:rsid w:val="61271414"/>
    <w:rsid w:val="620740F9"/>
    <w:rsid w:val="634E46E0"/>
    <w:rsid w:val="63881E31"/>
    <w:rsid w:val="638B573B"/>
    <w:rsid w:val="640475B9"/>
    <w:rsid w:val="64500020"/>
    <w:rsid w:val="65071796"/>
    <w:rsid w:val="652D1E04"/>
    <w:rsid w:val="65A00E18"/>
    <w:rsid w:val="67034362"/>
    <w:rsid w:val="695D0F78"/>
    <w:rsid w:val="69A2714C"/>
    <w:rsid w:val="6A9C229C"/>
    <w:rsid w:val="6C537DED"/>
    <w:rsid w:val="6CF17D97"/>
    <w:rsid w:val="6FFC1A27"/>
    <w:rsid w:val="70937967"/>
    <w:rsid w:val="70C526D0"/>
    <w:rsid w:val="70F0489A"/>
    <w:rsid w:val="710D6DC8"/>
    <w:rsid w:val="712A6482"/>
    <w:rsid w:val="7144135F"/>
    <w:rsid w:val="72534367"/>
    <w:rsid w:val="72A37AC8"/>
    <w:rsid w:val="74944B14"/>
    <w:rsid w:val="76B066AE"/>
    <w:rsid w:val="77D00A8D"/>
    <w:rsid w:val="7A13262E"/>
    <w:rsid w:val="7A40674A"/>
    <w:rsid w:val="7A9A6267"/>
    <w:rsid w:val="7AB9259F"/>
    <w:rsid w:val="7B0E621D"/>
    <w:rsid w:val="7BDE50EB"/>
    <w:rsid w:val="7CD83DAF"/>
    <w:rsid w:val="7D116CCB"/>
    <w:rsid w:val="7DC264F9"/>
    <w:rsid w:val="7E344F59"/>
    <w:rsid w:val="7EB7061D"/>
    <w:rsid w:val="7EBD0A5F"/>
    <w:rsid w:val="7F8738A2"/>
    <w:rsid w:val="7FDF4200"/>
    <w:rsid w:val="ABBFB244"/>
    <w:rsid w:val="DB3F9078"/>
    <w:rsid w:val="DFF73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160</TotalTime>
  <ScaleCrop>false</ScaleCrop>
  <LinksUpToDate>false</LinksUpToDate>
  <CharactersWithSpaces>3634</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2022-04-02T07:00:00Z</dcterms:created>
  <dc:creator>linaina1</dc:creator>
  <cp:lastModifiedBy>陈朋林</cp:lastModifiedBy>
  <dcterms:modified xsi:type="dcterms:W3CDTF">2026-09-14T11:17:10Z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3297B61A2C194FC88FC7C1779E02EEDE_13</vt:lpwstr>
  </property>
  <property fmtid="{D5CDD505-2E9C-101B-9397-08002B2CF9AE}" pid="4" name="KSOTemplateDocerSaveRecord">
    <vt:lpwstr>eyJoZGlkIjoiMmIyN2Q5NmMyNGMyNTc5NmRjN2UyM2JlMjU4NGYwNDEiLCJ1c2VySWQiOiIyNDY3NzMwMTMifQ==</vt:lpwstr>
  </property>
</Properties>
</file>