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广东华润银行润悦1号第1061期理财产品说明书</w:t>
      </w:r>
      <w:r>
        <w:rPr>
          <w:rFonts w:hint="eastAsia" w:ascii="微软雅黑" w:hAnsi="微软雅黑" w:eastAsia="微软雅黑"/>
          <w:b/>
          <w:sz w:val="28"/>
          <w:szCs w:val="28"/>
          <w:highlight w:val="none"/>
        </w:rPr>
      </w:r>
      <w:r>
        <w:rPr>
          <w:rFonts w:hint="eastAsia" w:ascii="微软雅黑" w:hAnsi="微软雅黑" w:eastAsia="微软雅黑"/>
          <w:b/>
          <w:sz w:val="28"/>
          <w:szCs w:val="28"/>
          <w:highlight w:val="none"/>
          <w:lang w:val="en-US" w:eastAsia="zh-CN"/>
        </w:rPr>
      </w:r>
      <w:r>
        <w:rPr>
          <w:rFonts w:hint="eastAsia" w:ascii="微软雅黑" w:hAnsi="微软雅黑" w:eastAsia="微软雅黑"/>
          <w:b/>
          <w:sz w:val="28"/>
          <w:szCs w:val="28"/>
          <w:highlight w:val="none"/>
        </w:rPr>
      </w:r>
    </w:p>
    <w:p>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pPr>
        <w:tabs>
          <w:tab w:val="left" w:pos="570"/>
        </w:tabs>
        <w:adjustRightInd/>
        <w:snapToGrid/>
        <w:spacing w:before="2" w:beforeLines="-2147483648" w:after="0" w:afterLines="-2147483648" w:line="237" w:lineRule="auto"/>
        <w:ind w:left="0" w:right="60" w:firstLine="0" w:firstLineChars="0"/>
        <w:jc w:val="left"/>
        <w:rPr>
          <w:rFonts w:hint="eastAsia" w:ascii="方正黑体简体" w:hAnsi="方正黑体简体" w:eastAsia="方正黑体简体" w:cs="方正黑体简体"/>
          <w:b/>
          <w:bCs w:val="0"/>
          <w:sz w:val="18"/>
          <w:szCs w:val="18"/>
        </w:rPr>
      </w:pPr>
    </w:p>
    <w:p>
      <w:pPr>
        <w:numPr>
          <w:ilvl w:val="-1"/>
          <w:numId w:val="0"/>
        </w:numPr>
        <w:spacing w:beforeLines="0" w:afterLines="0" w:line="320" w:lineRule="exact"/>
        <w:ind w:left="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2．元：指人民币元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证券管理有限公司、基金管理有限公司、资产管理有限公司等，理财产品管理人可根据产品实际运作情况，在符合监管要求的前提下调整理财投资合作机构。</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8．合格投资者：具备相应风险识别能力和风险承受能力，投资于单只理财产品不低于一定金额且符合一定条件的投资主体。</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9．开放式理财产品：指自产品成立日至终止日期间，理财产品份额总额不固定，投资者可以按照协议约定，在开放日和相应场所进行认购或者赎回的理财产品。</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．申购申请时间段：指本理财产品可以提出申购以及撤销申购的时间段。</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．申购/赎回确认日：指产品管理人确认投资者申购/赎回申请有效性的日期。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．存续期：指自本理财产品起始日至理财产品终止日的期间。</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w:t>
      </w:r>
      <w:r>
        <w:rPr>
          <w:rFonts w:hint="eastAsia" w:ascii="微软雅黑" w:hAnsi="微软雅黑" w:eastAsia="微软雅黑" w:cs="微软雅黑"/>
          <w:sz w:val="20"/>
          <w:szCs w:val="20"/>
          <w:highlight w:val="none"/>
        </w:rPr>
        <w:t>后3个工作日内自动到账。</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清算期：理财产品到期日或提前终止日至理财资金返还到帐日为理财产品清算期，清算期内资金不计付利息。</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w:t>
      </w:r>
      <w:r>
        <w:rPr>
          <w:rFonts w:hint="eastAsia" w:ascii="微软雅黑" w:hAnsi="微软雅黑" w:eastAsia="微软雅黑" w:cs="微软雅黑"/>
          <w:b w:val="0"/>
          <w:bCs w:val="0"/>
          <w:kern w:val="2"/>
          <w:sz w:val="20"/>
          <w:szCs w:val="20"/>
          <w:highlight w:val="none"/>
          <w:lang w:val="en-US" w:eastAsia="zh-CN" w:bidi="ar"/>
        </w:rPr>
        <w:t>理财产品/产品：指</w:t>
      </w:r>
      <w:r>
        <w:rPr>
          <w:rFonts w:hint="eastAsia" w:ascii="微软雅黑" w:hAnsi="微软雅黑" w:eastAsia="微软雅黑" w:cs="微软雅黑"/>
          <w:spacing w:val="0"/>
          <w:position w:val="0"/>
          <w:sz w:val="20"/>
          <w:szCs w:val="20"/>
          <w:highlight w:val="none"/>
          <w:lang w:val="en-US" w:eastAsia="zh-CN" w:bidi="ar"/>
        </w:rPr>
        <w:t>广东华润银行</w:t>
      </w:r>
      <w:r>
        <w:rPr>
          <w:rFonts w:hint="eastAsia" w:ascii="微软雅黑" w:hAnsi="微软雅黑" w:eastAsia="微软雅黑" w:cs="微软雅黑"/>
          <w:sz w:val="20"/>
          <w:szCs w:val="20"/>
          <w:highlight w:val="none"/>
        </w:rPr>
        <w:t>润悦</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号第</w:t>
      </w:r>
      <w:r>
        <w:rPr>
          <w:rFonts w:hint="eastAsia" w:ascii="微软雅黑" w:hAnsi="微软雅黑" w:eastAsia="微软雅黑" w:cs="微软雅黑"/>
          <w:sz w:val="20"/>
          <w:szCs w:val="20"/>
          <w:highlight w:val="none"/>
          <w:lang w:val="en-US" w:eastAsia="zh-CN"/>
        </w:rPr>
        <w:t>XX</w:t>
      </w:r>
      <w:r>
        <w:rPr>
          <w:rFonts w:hint="eastAsia" w:ascii="微软雅黑" w:hAnsi="微软雅黑" w:eastAsia="微软雅黑" w:cs="微软雅黑"/>
          <w:sz w:val="20"/>
          <w:szCs w:val="20"/>
          <w:highlight w:val="none"/>
        </w:rPr>
        <w:t>期理财产品</w:t>
      </w:r>
      <w:r>
        <w:rPr>
          <w:rFonts w:hint="eastAsia" w:ascii="微软雅黑" w:hAnsi="微软雅黑" w:eastAsia="微软雅黑" w:cs="微软雅黑"/>
          <w:position w:val="0"/>
          <w:sz w:val="20"/>
          <w:szCs w:val="20"/>
          <w:highlight w:val="none"/>
          <w:lang w:val="en-US" w:eastAsia="zh-CN" w:bidi="ar"/>
        </w:rPr>
        <w:t>。</w:t>
      </w:r>
    </w:p>
    <w:p>
      <w:pPr>
        <w:spacing w:before="313" w:beforeLines="10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广东华润银行润悦1号第1061期理财产品</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润悦1号第1061期</w:t>
            </w:r>
            <w:r>
              <w:rPr>
                <w:rFonts w:hint="eastAsia" w:ascii="微软雅黑" w:hAnsi="微软雅黑" w:eastAsia="微软雅黑" w:cs="微软雅黑"/>
                <w:sz w:val="20"/>
                <w:szCs w:val="20"/>
                <w:highlight w:val="none"/>
                <w:lang w:val="en-US" w:eastAsia="zh-C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szCs w:val="21"/>
                <w:highlight w:val="none"/>
              </w:rPr>
              <w:t>RY11061</w:t>
            </w:r>
            <w:r>
              <w:rPr>
                <w:rFonts w:hint="eastAsia" w:ascii="微软雅黑" w:hAnsi="微软雅黑" w:eastAsia="微软雅黑"/>
                <w:szCs w:val="21"/>
                <w:highlight w:val="none"/>
                <w:lang w:val="en-US" w:eastAsia="zh-C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pPr>
              <w:spacing w:line="320" w:lineRule="exact"/>
              <w:rPr>
                <w:rFonts w:hint="eastAsia" w:ascii="微软雅黑" w:hAnsi="微软雅黑" w:eastAsia="微软雅黑"/>
                <w:szCs w:val="21"/>
                <w:highlight w:val="none"/>
                <w:lang w:eastAsia="zh-CN"/>
              </w:rPr>
            </w:pPr>
            <w:r>
              <w:rPr>
                <w:rFonts w:hint="eastAsia" w:ascii="微软雅黑" w:hAnsi="微软雅黑" w:eastAsia="微软雅黑"/>
                <w:szCs w:val="21"/>
                <w:highlight w:val="none"/>
              </w:rPr>
              <w:t>C1082926000103</w:t>
            </w:r>
            <w:r>
              <w:rPr>
                <w:rFonts w:hint="eastAsia" w:ascii="微软雅黑" w:hAnsi="微软雅黑" w:eastAsia="微软雅黑"/>
                <w:szCs w:val="21"/>
                <w:highlight w:val="none"/>
                <w:lang w:val="en-US" w:eastAsia="zh-CN"/>
              </w:rPr>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机构客户和经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银行认可的其他销售服务机构）评估，评定为稳健型、平衡型、成长型、进取型的个人客户。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w:t>
            </w:r>
            <w:r>
              <w:rPr>
                <w:rFonts w:hint="eastAsia" w:ascii="微软雅黑" w:hAnsi="微软雅黑" w:eastAsia="微软雅黑" w:cs="微软雅黑"/>
                <w:sz w:val="20"/>
                <w:szCs w:val="20"/>
                <w:highlight w:val="none"/>
                <w:lang w:val="en-US" w:eastAsia="zh-CN"/>
              </w:rPr>
              <w:t>2亿</w:t>
            </w:r>
            <w:r>
              <w:rPr>
                <w:rFonts w:hint="eastAsia" w:ascii="微软雅黑" w:hAnsi="微软雅黑" w:eastAsia="微软雅黑" w:cs="微软雅黑"/>
                <w:sz w:val="20"/>
                <w:szCs w:val="20"/>
                <w:highlight w:val="none"/>
              </w:rPr>
              <w:t>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2026年8月19日</w:t>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u w:val="single"/>
              </w:rPr>
              <w:t>2028年8月23日</w:t>
            </w:r>
            <w:r>
              <w:rPr>
                <w:rFonts w:hint="eastAsia" w:ascii="微软雅黑" w:hAnsi="微软雅黑" w:eastAsia="微软雅黑" w:cs="微软雅黑"/>
                <w:sz w:val="20"/>
                <w:szCs w:val="20"/>
                <w:highlight w:val="none"/>
              </w:rPr>
              <w:t>（以产品实际到期日为准）</w:t>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lang w:val="en-US" w:eastAsia="zh-CN"/>
                <w:u w:val="single"/>
              </w:rPr>
              <w:t>735</w:t>
            </w:r>
            <w:r>
              <w:rPr>
                <w:rFonts w:hint="eastAsia" w:ascii="微软雅黑" w:hAnsi="微软雅黑" w:eastAsia="微软雅黑" w:cs="微软雅黑"/>
                <w:sz w:val="20"/>
                <w:szCs w:val="20"/>
                <w:highlight w:val="none"/>
              </w:rPr>
              <w:t>天。实际产品期限受制于银行提前终止及产品到期条款，</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银行可根据情况进行调整。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万元；超过认购起点部分，以1000元递增。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2026年8月12日9:00至2026年8月18日17:00，广东华润银行有权提前结束认购并调整相关日期。</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eastAsia="zh-CN"/>
              </w:rPr>
            </w:r>
            <w:r>
              <w:rPr>
                <w:rFonts w:hint="eastAsia" w:ascii="微软雅黑" w:hAnsi="微软雅黑" w:eastAsia="微软雅黑" w:cs="微软雅黑"/>
                <w:sz w:val="20"/>
                <w:szCs w:val="20"/>
                <w:highlight w:val="non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管理人对本产品设定业绩比较基准：年化【1.90%,2.80%】</w:t>
            </w:r>
            <w:r>
              <w:rPr>
                <w:rFonts w:hint="eastAsia" w:ascii="微软雅黑" w:hAnsi="微软雅黑" w:eastAsia="微软雅黑"/>
                <w:szCs w:val="21"/>
                <w:highlight w:val="none"/>
                <w:lang w:val="en-US" w:eastAsia="zh-CN"/>
              </w:rPr>
            </w:r>
            <w:r>
              <w:rPr>
                <w:rFonts w:hint="eastAsia" w:ascii="微软雅黑" w:hAnsi="微软雅黑" w:eastAsia="微软雅黑" w:cs="微软雅黑"/>
                <w:sz w:val="20"/>
                <w:szCs w:val="20"/>
                <w:highlight w:val="none"/>
                <w:lang w:val="en-US" w:eastAsia="zh-CN"/>
              </w:rPr>
            </w:r>
          </w:p>
          <w:p>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pPr>
        <w:adjustRightInd w:val="0"/>
        <w:snapToGrid w:val="0"/>
        <w:spacing w:beforeLines="0" w:afterLines="0" w:line="320" w:lineRule="exact"/>
        <w:ind w:left="0"/>
        <w:rPr>
          <w:rFonts w:hint="eastAsia" w:ascii="微软雅黑" w:hAnsi="微软雅黑" w:eastAsia="微软雅黑" w:cs="微软雅黑"/>
          <w:b/>
          <w:sz w:val="20"/>
          <w:szCs w:val="20"/>
          <w:highlight w:val="none"/>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snapToGrid w:val="0"/>
          <w:color w:val="000000"/>
          <w:spacing w:val="8"/>
          <w:kern w:val="0"/>
          <w:sz w:val="20"/>
          <w:szCs w:val="20"/>
          <w:lang w:val="en-US" w:eastAsia="zh-CN"/>
        </w:rPr>
      </w:pPr>
    </w:p>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销售服务机构</w:t>
      </w:r>
    </w:p>
    <w:p>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vAlign w:val="center"/>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债务债务融资工具（PPN）、二级资本债、债券型基金等标准化债权资产；信托贷款（含可续期信托贷款）、应收账款、收益权转让、承兑汇票、信用证、收益凭证及受让等非标准化债权资产；以及监管部门认可的其他金融投资工具。</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27"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1.产品登记日：本理财产品于2026年8月19日进行认购登记。</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（3）认购撤单：认购期内允许全部或者部分撤销已递交的认购申请，部分撤销只适用于客户多次认购的情况，客户必须对应每笔认购的份额逐笔撤销，部分撤销后剩余的各笔认购份额总和不得低于</w:t>
      </w:r>
      <w:r>
        <w:rPr>
          <w:rFonts w:hint="eastAsia" w:ascii="微软雅黑" w:hAnsi="微软雅黑" w:eastAsia="微软雅黑" w:cs="微软雅黑"/>
          <w:sz w:val="20"/>
          <w:szCs w:val="20"/>
          <w:highlight w:val="none"/>
          <w:lang w:val="en-US" w:eastAsia="zh-CN"/>
        </w:rPr>
        <w:t>1</w:t>
      </w:r>
      <w:bookmarkStart w:id="1" w:name="_GoBack"/>
      <w:bookmarkEnd w:id="1"/>
      <w:r>
        <w:rPr>
          <w:rFonts w:hint="eastAsia" w:ascii="微软雅黑" w:hAnsi="微软雅黑" w:eastAsia="微软雅黑" w:cs="微软雅黑"/>
          <w:sz w:val="20"/>
          <w:szCs w:val="20"/>
          <w:highlight w:val="none"/>
        </w:rPr>
        <w:t>万份；</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1.本理财产品到期日为2028年8月23日（以实际到期日为准），如有调整将至少提前2个工作日根据约定方式进行信息披露。</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银行在产品到期日后3个工作日内将客户应得资金划转至客户指定账户。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eastAsia" w:ascii="微软雅黑" w:hAnsi="微软雅黑" w:eastAsia="微软雅黑" w:cs="微软雅黑"/>
          <w:sz w:val="20"/>
          <w:szCs w:val="20"/>
          <w:highlight w:val="none"/>
          <w:lang w:val="en-US" w:eastAsia="zh-CN"/>
        </w:rPr>
        <w:t>3个工作日的，管理人将提前2个工作日根据约定方式进行信息披露。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pPr>
        <w:numPr>
          <w:ilvl w:val="-1"/>
          <w:numId w:val="0"/>
        </w:numPr>
        <w:autoSpaceDE/>
        <w:autoSpaceDN/>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2.45%时，则超过部分管理人计提80%作为浮动投资管理费（若本产品投资收益率低于2.45%（含），管理人不收取浮动投资管理费）。投资者持有的产品份额赎回/到期/终止时，产品份额持有期间的年化收益率未达到业绩比较基准下限时，广东华润银行有权选择是否启用回拨机制，即以已计提的固定管理费和销售手续费为上限对投资者进行回拨，回拨后产品份额持有期间的年化收益率不超过业绩比较基准下限。</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pPr>
        <w:numPr>
          <w:ilvl w:val="0"/>
          <w:numId w:val="0"/>
        </w:numPr>
        <w:adjustRightInd/>
        <w:snapToGrid/>
        <w:spacing w:before="313" w:beforeLines="10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，投资表现低于业绩比较基准下限，广东华润银行有权选择是否启用回拨机制</w:t>
      </w:r>
      <w:r>
        <w:rPr>
          <w:rFonts w:hint="eastAsia" w:ascii="微软雅黑" w:hAnsi="微软雅黑" w:eastAsia="微软雅黑" w:cs="微软雅黑"/>
          <w:sz w:val="20"/>
          <w:szCs w:val="20"/>
          <w:highlight w:val="none"/>
          <w:lang w:val="en-US"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，如广东华润银行选择启用回拨机制，以已计提的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根据理财产品管理人和理财产品托管人协商的方法，由理财产品管理人和理财产品牌托管人共同进行更正，由估值错误的责任方进行赔偿损失。</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w:t>
      </w:r>
      <w:r>
        <w:rPr>
          <w:rFonts w:hint="eastAsia" w:ascii="微软雅黑" w:hAnsi="微软雅黑" w:eastAsia="微软雅黑" w:cs="微软雅黑"/>
          <w:b/>
          <w:sz w:val="20"/>
          <w:szCs w:val="20"/>
          <w:highlight w:val="none"/>
        </w:rPr>
        <w:t>、信息披露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银行将及时在各营业网点或官方网站或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银行将于决定理财产品不成立之日后2个工作日内,发布“产品不成立公告”。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银行将于提前终止日前2个工作日内，发布“产品提前终止公告”。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日内，披露本理财产品的季度报告（本理财产品成立不足90个自然日或剩余存续期不足完整报告期除外），每年8月31日前披露本理财产品的半年度报告，每年4月30日前披露本理财产品上一年度的年度报告，向投资者披露产品投资状况、投资表现、风险状况等信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银行如需对《产品说明书》的相关条款（包括但不限于业绩比较基准、投资范围、估值方法、相关费用等）进行补充、说明和修改，可以提前2个工作日发布公告。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pPr>
        <w:spacing w:before="313" w:beforeLines="10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一</w:t>
      </w:r>
      <w:r>
        <w:rPr>
          <w:rFonts w:hint="eastAsia" w:ascii="微软雅黑" w:hAnsi="微软雅黑" w:eastAsia="微软雅黑" w:cs="微软雅黑"/>
          <w:b/>
          <w:bCs/>
          <w:sz w:val="20"/>
          <w:szCs w:val="20"/>
          <w:highlight w:val="none"/>
        </w:rPr>
        <w:t>、其他</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pPr>
        <w:keepNext w:val="0"/>
        <w:keepLines w:val="0"/>
        <w:widowControl/>
        <w:suppressLineNumbers w:val="0"/>
        <w:wordWrap w:val="0"/>
        <w:spacing w:beforeLines="0" w:afterLines="0" w:line="320" w:lineRule="exact"/>
        <w:ind w:firstLine="4334" w:firstLineChars="1900"/>
        <w:jc w:val="center"/>
        <w:rPr>
          <w:rFonts w:hint="default" w:ascii="微软雅黑" w:hAnsi="微软雅黑" w:eastAsia="微软雅黑" w:cs="微软雅黑"/>
          <w:b w:val="0"/>
          <w:bCs w:val="0"/>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w:t>
      </w:r>
      <w:r>
        <w:rPr>
          <w:rFonts w:hint="eastAsia" w:ascii="微软雅黑" w:hAnsi="微软雅黑" w:eastAsia="微软雅黑" w:cs="微软雅黑"/>
          <w:b w:val="0"/>
          <w:bCs w:val="0"/>
          <w:color w:val="000000"/>
          <w:spacing w:val="14"/>
          <w:kern w:val="0"/>
          <w:sz w:val="20"/>
          <w:szCs w:val="20"/>
          <w:lang w:val="en-US" w:eastAsia="zh-CN" w:bidi="ar"/>
        </w:rPr>
        <w:t>（签署）：</w:t>
      </w:r>
    </w:p>
    <w:p>
      <w:pPr>
        <w:widowControl/>
        <w:spacing w:beforeLines="0" w:afterLines="0" w:line="320" w:lineRule="exact"/>
        <w:ind w:firstLine="5928" w:firstLineChars="2600"/>
      </w:pPr>
      <w:r>
        <w:rPr>
          <w:rFonts w:hint="eastAsia" w:ascii="微软雅黑" w:hAnsi="微软雅黑" w:eastAsia="微软雅黑" w:cs="微软雅黑"/>
          <w:b w:val="0"/>
          <w:bCs w:val="0"/>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黑体简体">
    <w:altName w:val="微软雅黑"/>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0"/>
      </w:pBdr>
      <w:jc w:val="left"/>
      <w:rPr>
        <w:rFonts w:hint="eastAsia" w:eastAsia="宋体"/>
        <w:lang w:eastAsia="zh-CN"/>
      </w:rPr>
    </w:pPr>
  </w:p>
  <w:p>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202605</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B75A49"/>
    <w:rsid w:val="01306075"/>
    <w:rsid w:val="01881AE7"/>
    <w:rsid w:val="018B7376"/>
    <w:rsid w:val="019002E5"/>
    <w:rsid w:val="02165FC0"/>
    <w:rsid w:val="03B414CE"/>
    <w:rsid w:val="03BF2E4E"/>
    <w:rsid w:val="05821EFC"/>
    <w:rsid w:val="05AD1DE5"/>
    <w:rsid w:val="05CD394E"/>
    <w:rsid w:val="06205A84"/>
    <w:rsid w:val="065F6EC9"/>
    <w:rsid w:val="06FF7018"/>
    <w:rsid w:val="070F59AD"/>
    <w:rsid w:val="07597FA2"/>
    <w:rsid w:val="07D91F33"/>
    <w:rsid w:val="09824E6E"/>
    <w:rsid w:val="09825DF4"/>
    <w:rsid w:val="0AD91639"/>
    <w:rsid w:val="0B2E0241"/>
    <w:rsid w:val="0D874889"/>
    <w:rsid w:val="0E9575B0"/>
    <w:rsid w:val="0EEC3F08"/>
    <w:rsid w:val="0F394F64"/>
    <w:rsid w:val="10475161"/>
    <w:rsid w:val="12A13A06"/>
    <w:rsid w:val="12F30933"/>
    <w:rsid w:val="12F955D8"/>
    <w:rsid w:val="13780584"/>
    <w:rsid w:val="13AC247C"/>
    <w:rsid w:val="1408101E"/>
    <w:rsid w:val="140B2F8F"/>
    <w:rsid w:val="141E4DEA"/>
    <w:rsid w:val="142802AA"/>
    <w:rsid w:val="147F0567"/>
    <w:rsid w:val="148D33AC"/>
    <w:rsid w:val="149C3A86"/>
    <w:rsid w:val="14B15E18"/>
    <w:rsid w:val="16553151"/>
    <w:rsid w:val="16905BDF"/>
    <w:rsid w:val="16F22773"/>
    <w:rsid w:val="17FECA85"/>
    <w:rsid w:val="181D63C5"/>
    <w:rsid w:val="1B391A14"/>
    <w:rsid w:val="1B5202EC"/>
    <w:rsid w:val="1B7D18F3"/>
    <w:rsid w:val="1B802337"/>
    <w:rsid w:val="1C471657"/>
    <w:rsid w:val="1FB2359F"/>
    <w:rsid w:val="202A0D43"/>
    <w:rsid w:val="2168501B"/>
    <w:rsid w:val="22E77109"/>
    <w:rsid w:val="23F54552"/>
    <w:rsid w:val="2503174A"/>
    <w:rsid w:val="25C920B0"/>
    <w:rsid w:val="26726A23"/>
    <w:rsid w:val="270F5E5A"/>
    <w:rsid w:val="27C3535E"/>
    <w:rsid w:val="288E09D9"/>
    <w:rsid w:val="29327EFA"/>
    <w:rsid w:val="2A86235F"/>
    <w:rsid w:val="2AD936AB"/>
    <w:rsid w:val="2B6A1BCA"/>
    <w:rsid w:val="2B80553F"/>
    <w:rsid w:val="2BB970C4"/>
    <w:rsid w:val="2C1C20A9"/>
    <w:rsid w:val="2CD41B44"/>
    <w:rsid w:val="2DCA19E9"/>
    <w:rsid w:val="2EA82D00"/>
    <w:rsid w:val="2EAC5EBE"/>
    <w:rsid w:val="2F7C7864"/>
    <w:rsid w:val="2FB03A92"/>
    <w:rsid w:val="31E8402B"/>
    <w:rsid w:val="32DC13E4"/>
    <w:rsid w:val="340140E6"/>
    <w:rsid w:val="357E1023"/>
    <w:rsid w:val="35AA05FA"/>
    <w:rsid w:val="37AF0E2E"/>
    <w:rsid w:val="38C20218"/>
    <w:rsid w:val="395D3068"/>
    <w:rsid w:val="39B82E07"/>
    <w:rsid w:val="3A38092F"/>
    <w:rsid w:val="3AE3718A"/>
    <w:rsid w:val="3BD134A1"/>
    <w:rsid w:val="3BDD601C"/>
    <w:rsid w:val="3CAC1915"/>
    <w:rsid w:val="3D9E622F"/>
    <w:rsid w:val="3EE9180A"/>
    <w:rsid w:val="3F986A32"/>
    <w:rsid w:val="402A10C5"/>
    <w:rsid w:val="409147A1"/>
    <w:rsid w:val="41392DB8"/>
    <w:rsid w:val="43E401C6"/>
    <w:rsid w:val="453C2BC4"/>
    <w:rsid w:val="453D75E9"/>
    <w:rsid w:val="45585AA1"/>
    <w:rsid w:val="46846E66"/>
    <w:rsid w:val="46AE62C2"/>
    <w:rsid w:val="46BC7146"/>
    <w:rsid w:val="471E510B"/>
    <w:rsid w:val="47F76C91"/>
    <w:rsid w:val="49EE531F"/>
    <w:rsid w:val="4ABD369F"/>
    <w:rsid w:val="4AD8186E"/>
    <w:rsid w:val="4AF16BBD"/>
    <w:rsid w:val="4BDD7BC2"/>
    <w:rsid w:val="4EE91359"/>
    <w:rsid w:val="4F3C523C"/>
    <w:rsid w:val="4F573BE1"/>
    <w:rsid w:val="4FA030D2"/>
    <w:rsid w:val="5007118A"/>
    <w:rsid w:val="50FB1E76"/>
    <w:rsid w:val="523B6595"/>
    <w:rsid w:val="532B2EE7"/>
    <w:rsid w:val="536E6363"/>
    <w:rsid w:val="53C934A7"/>
    <w:rsid w:val="54687333"/>
    <w:rsid w:val="5559781E"/>
    <w:rsid w:val="55C20EA3"/>
    <w:rsid w:val="569B42B8"/>
    <w:rsid w:val="588145FC"/>
    <w:rsid w:val="59FD2DF2"/>
    <w:rsid w:val="5BC265D6"/>
    <w:rsid w:val="5BE432C5"/>
    <w:rsid w:val="5CD3789B"/>
    <w:rsid w:val="5F67556E"/>
    <w:rsid w:val="5F8B5555"/>
    <w:rsid w:val="5F9F79E6"/>
    <w:rsid w:val="60567BFB"/>
    <w:rsid w:val="608A0BA3"/>
    <w:rsid w:val="60A60246"/>
    <w:rsid w:val="60AC2D12"/>
    <w:rsid w:val="61271414"/>
    <w:rsid w:val="620740F9"/>
    <w:rsid w:val="62504DF9"/>
    <w:rsid w:val="634E46E0"/>
    <w:rsid w:val="63881E31"/>
    <w:rsid w:val="638B573B"/>
    <w:rsid w:val="640475B9"/>
    <w:rsid w:val="64500020"/>
    <w:rsid w:val="65071796"/>
    <w:rsid w:val="65A00E18"/>
    <w:rsid w:val="67034362"/>
    <w:rsid w:val="695D0F78"/>
    <w:rsid w:val="69A2714C"/>
    <w:rsid w:val="6A9C229C"/>
    <w:rsid w:val="6AC177B4"/>
    <w:rsid w:val="6C537DED"/>
    <w:rsid w:val="6CF17D97"/>
    <w:rsid w:val="6FFC1A27"/>
    <w:rsid w:val="70C526D0"/>
    <w:rsid w:val="70F0489A"/>
    <w:rsid w:val="710D6DC8"/>
    <w:rsid w:val="712A6482"/>
    <w:rsid w:val="7144135F"/>
    <w:rsid w:val="72534367"/>
    <w:rsid w:val="72A37AC8"/>
    <w:rsid w:val="73565426"/>
    <w:rsid w:val="73F5DED3"/>
    <w:rsid w:val="74944B14"/>
    <w:rsid w:val="76B066AE"/>
    <w:rsid w:val="77D00A8D"/>
    <w:rsid w:val="7A13262E"/>
    <w:rsid w:val="7A40674A"/>
    <w:rsid w:val="7A9A6267"/>
    <w:rsid w:val="7AB9259F"/>
    <w:rsid w:val="7B0E621D"/>
    <w:rsid w:val="7CD83DAF"/>
    <w:rsid w:val="7D116CCB"/>
    <w:rsid w:val="7DC264F9"/>
    <w:rsid w:val="7E344F59"/>
    <w:rsid w:val="7EB7061D"/>
    <w:rsid w:val="7EBD0A5F"/>
    <w:rsid w:val="7F7FFA6C"/>
    <w:rsid w:val="7F8738A2"/>
    <w:rsid w:val="D7F7A67C"/>
    <w:rsid w:val="DF699916"/>
    <w:rsid w:val="EB3DFE73"/>
    <w:rsid w:val="EDEE6A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36</TotalTime>
  <ScaleCrop>false</ScaleCrop>
  <LinksUpToDate>false</LinksUpToDate>
  <CharactersWithSpaces>3634</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2022-04-02T23:00:00Z</dcterms:created>
  <dc:creator>linaina1</dc:creator>
  <cp:lastModifiedBy>chenpenglin3</cp:lastModifiedBy>
  <dcterms:modified xsi:type="dcterms:W3CDTF">2026-07-20T02:24:17Z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D6D7032DEB518EE5BFE8386A12803F4F</vt:lpwstr>
  </property>
  <property fmtid="{D5CDD505-2E9C-101B-9397-08002B2CF9AE}" pid="4" name="KSOTemplateDocerSaveRecord">
    <vt:lpwstr>eyJoZGlkIjoiMmIyN2Q5NmMyNGMyNTc5NmRjN2UyM2JlMjU4NGYwNDEiLCJ1c2VySWQiOiIyNDY3NzMwMTMifQ==</vt:lpwstr>
  </property>
</Properties>
</file>