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广东华润银行润悦1号第1018期理财产品说明书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广东华润银行润悦1号第1018期理财产品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润悦1号第1018期</w:t>
            </w:r>
            <w:r>
              <w:rPr>
                <w:rFonts w:hint="eastAsia" w:ascii="微软雅黑" w:hAnsi="微软雅黑" w:eastAsia="微软雅黑" w:cs="微软雅黑"/>
                <w:sz w:val="20"/>
                <w:szCs w:val="20"/>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RY11018</w:t>
            </w:r>
            <w:r>
              <w:rPr>
                <w:rFonts w:hint="eastAsia" w:ascii="微软雅黑" w:hAnsi="微软雅黑" w:eastAsia="微软雅黑"/>
                <w:szCs w:val="21"/>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C1082926000069</w:t>
            </w:r>
            <w:r>
              <w:rPr>
                <w:rFonts w:hint="eastAsia" w:ascii="微软雅黑" w:hAnsi="微软雅黑" w:eastAsia="微软雅黑"/>
                <w:szCs w:val="21"/>
                <w:highlight w:val="none"/>
                <w:lang w:val="en-US" w:eastAsia="zh-CN"/>
              </w:rPr>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2026年8月19日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2027年2月24日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189</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2026年8月12日9:00至2026年8月18日17:00，广东华润银行有权提前结束认购并调整相关日期。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管理人对本产品设定业绩比较基准：年化【1.55%,2.40%】</w:t>
            </w:r>
            <w:r>
              <w:rPr>
                <w:rFonts w:hint="eastAsia" w:ascii="微软雅黑" w:hAnsi="微软雅黑" w:eastAsia="微软雅黑"/>
                <w:szCs w:val="21"/>
                <w:highlight w:val="none"/>
                <w:lang w:val="en-US" w:eastAsia="zh-CN"/>
              </w:rPr>
            </w:r>
            <w:r>
              <w:rPr>
                <w:rFonts w:hint="eastAsia" w:ascii="微软雅黑" w:hAnsi="微软雅黑" w:eastAsia="微软雅黑" w:cs="微软雅黑"/>
                <w:sz w:val="20"/>
                <w:szCs w:val="20"/>
                <w:highlight w:val="none"/>
                <w:lang w:val="en-US" w:eastAsia="zh-CN"/>
              </w:rPr>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1.产品登记日：本理财产品于2026年8月19日进行认购登记。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bookmarkStart w:id="1" w:name="_GoBack"/>
      <w:bookmarkEnd w:id="1"/>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1.本理财产品到期日为2027年2月24日（以实际到期日为准），如有调整将至少提前2个工作日根据约定方式进行信息披露。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2.25%时，则超过部分管理人计提90%作为浮动投资管理费（若本产品投资收益率低于2.25%（含），管理人不收取浮动投资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36</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2026-07-20T02:24:17Z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