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广东华润银行润悦1号第1017期理财产品说明书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广东华润银行润悦1号第1017期理财产品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润悦1号第1017期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C1082926000063</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3亿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2026年8月12日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2027年2月17日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189</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2026年8月5日9:00至2026年8月11日17:00，广东华润银行有权提前结束认购并调整相关日期。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管理人对本产品设定业绩比较基准：年化【1.55%,2.40%】</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1.产品登记日：本理财产品于2026年8月12日进行认购登记。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1.本理财产品到期日为2027年2月17日（以实际到期日为准），如有调整将至少提前2个工作日根据约定方式进行信息披露。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2.25%时，则超过部分管理人计提90%作为浮动投资管理费（若本产品投资收益率低于2.25%（含），管理人不收取浮动投资管理费）。投资者持有的产品份额赎回/到期/终止时，产品份额持有期间的年化收益率未达到业绩比较基准下限时，广东华</w:t>
      </w:r>
      <w:bookmarkStart w:id="1" w:name="_GoBack"/>
      <w:bookmarkEnd w:id="1"/>
      <w:r>
        <w:rPr>
          <w:rFonts w:hint="eastAsia" w:ascii="微软雅黑" w:hAnsi="微软雅黑" w:eastAsia="微软雅黑" w:cs="微软雅黑"/>
          <w:b/>
          <w:bCs/>
          <w:sz w:val="20"/>
          <w:szCs w:val="20"/>
          <w:highlight w:val="none"/>
          <w:lang w:val="en-US" w:eastAsia="zh-CN"/>
        </w:rPr>
        <w:t>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AD4594"/>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38</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2026-08-03T09:33:33Z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