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广东华润</w:t>
      </w:r>
      <w:r>
        <w:rPr>
          <w:rFonts w:hint="eastAsia" w:ascii="微软雅黑" w:hAnsi="微软雅黑" w:eastAsia="微软雅黑"/>
          <w:b/>
          <w:sz w:val="28"/>
          <w:szCs w:val="28"/>
          <w:highlight w:val="none"/>
        </w:rPr>
        <w:t>银行润悦1号第</w:t>
      </w:r>
      <w:r>
        <w:rPr>
          <w:rFonts w:hint="eastAsia" w:ascii="微软雅黑" w:hAnsi="微软雅黑" w:eastAsia="微软雅黑"/>
          <w:b/>
          <w:sz w:val="28"/>
          <w:szCs w:val="28"/>
          <w:highlight w:val="none"/>
          <w:lang w:val="en-US" w:eastAsia="zh-CN"/>
        </w:rPr>
        <w:t>943期</w:t>
      </w:r>
      <w:r>
        <w:rPr>
          <w:rFonts w:hint="eastAsia" w:ascii="微软雅黑" w:hAnsi="微软雅黑" w:eastAsia="微软雅黑"/>
          <w:b/>
          <w:sz w:val="28"/>
          <w:szCs w:val="28"/>
          <w:highlight w:val="none"/>
        </w:rPr>
        <w:t>理财产品说明书</w:t>
      </w:r>
    </w:p>
    <w:p>
      <w:pPr>
        <w:spacing w:beforeLines="-2147483648" w:afterLines="-2147483648" w:line="300" w:lineRule="exact"/>
        <w:ind w:firstLine="360" w:firstLineChars="200"/>
        <w:rPr>
          <w:rFonts w:hint="eastAsia" w:ascii="方正黑体简体" w:hAnsi="方正黑体简体" w:eastAsia="方正黑体简体" w:cs="方正黑体简体"/>
          <w:b/>
          <w:bCs w:val="0"/>
          <w:sz w:val="18"/>
          <w:szCs w:val="18"/>
        </w:rPr>
      </w:pPr>
    </w:p>
    <w:p>
      <w:pPr>
        <w:spacing w:beforeLines="-2147483648" w:afterLines="-2147483648" w:line="320" w:lineRule="exact"/>
        <w:ind w:firstLine="400" w:firstLineChars="200"/>
        <w:rPr>
          <w:rFonts w:hint="eastAsia" w:ascii="微软雅黑" w:hAnsi="微软雅黑" w:eastAsia="微软雅黑" w:cs="微软雅黑"/>
          <w:b/>
          <w:bCs w:val="0"/>
          <w:sz w:val="20"/>
          <w:szCs w:val="20"/>
        </w:rPr>
      </w:pPr>
      <w:r>
        <w:rPr>
          <w:rFonts w:hint="eastAsia" w:ascii="微软雅黑" w:hAnsi="微软雅黑" w:eastAsia="微软雅黑" w:cs="微软雅黑"/>
          <w:b/>
          <w:bCs w:val="0"/>
          <w:sz w:val="20"/>
          <w:szCs w:val="20"/>
        </w:rPr>
        <w:t>【重要提示】为了保障您的合法权益，您在签署本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前，</w:t>
      </w:r>
      <w:r>
        <w:rPr>
          <w:rFonts w:hint="eastAsia" w:ascii="微软雅黑" w:hAnsi="微软雅黑" w:eastAsia="微软雅黑" w:cs="微软雅黑"/>
          <w:b/>
          <w:bCs w:val="0"/>
          <w:sz w:val="20"/>
          <w:szCs w:val="20"/>
          <w:lang w:val="en-US" w:eastAsia="zh-CN"/>
        </w:rPr>
        <w:t>请您</w:t>
      </w:r>
      <w:r>
        <w:rPr>
          <w:rFonts w:hint="eastAsia" w:ascii="微软雅黑" w:hAnsi="微软雅黑" w:eastAsia="微软雅黑" w:cs="微软雅黑"/>
          <w:b/>
          <w:bCs w:val="0"/>
          <w:sz w:val="20"/>
          <w:szCs w:val="20"/>
        </w:rPr>
        <w:t>审慎阅读、充分理解本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所有条款</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请</w:t>
      </w:r>
      <w:r>
        <w:rPr>
          <w:rFonts w:hint="eastAsia" w:ascii="微软雅黑" w:hAnsi="微软雅黑" w:eastAsia="微软雅黑" w:cs="微软雅黑"/>
          <w:b/>
          <w:bCs w:val="0"/>
          <w:sz w:val="20"/>
          <w:szCs w:val="20"/>
          <w:lang w:val="en-US" w:eastAsia="zh-CN"/>
        </w:rPr>
        <w:t>您</w:t>
      </w:r>
      <w:r>
        <w:rPr>
          <w:rFonts w:hint="eastAsia" w:ascii="微软雅黑" w:hAnsi="微软雅黑" w:eastAsia="微软雅黑" w:cs="微软雅黑"/>
          <w:b/>
          <w:bCs w:val="0"/>
          <w:sz w:val="20"/>
          <w:szCs w:val="20"/>
        </w:rPr>
        <w:t>注意免除或者减轻</w:t>
      </w:r>
      <w:r>
        <w:rPr>
          <w:rFonts w:hint="eastAsia" w:ascii="微软雅黑" w:hAnsi="微软雅黑" w:eastAsia="微软雅黑" w:cs="微软雅黑"/>
          <w:b/>
          <w:bCs w:val="0"/>
          <w:sz w:val="20"/>
          <w:szCs w:val="20"/>
          <w:lang w:val="en-US" w:eastAsia="zh-CN"/>
        </w:rPr>
        <w:t>广东华润银行</w:t>
      </w:r>
      <w:r>
        <w:rPr>
          <w:rFonts w:hint="eastAsia" w:ascii="微软雅黑" w:hAnsi="微软雅黑" w:eastAsia="微软雅黑" w:cs="微软雅黑"/>
          <w:b/>
          <w:bCs w:val="0"/>
          <w:sz w:val="20"/>
          <w:szCs w:val="20"/>
        </w:rPr>
        <w:t>责任、排除或者限制</w:t>
      </w:r>
      <w:r>
        <w:rPr>
          <w:rFonts w:hint="eastAsia" w:ascii="微软雅黑" w:hAnsi="微软雅黑" w:eastAsia="微软雅黑" w:cs="微软雅黑"/>
          <w:b/>
          <w:bCs w:val="0"/>
          <w:sz w:val="20"/>
          <w:szCs w:val="20"/>
          <w:lang w:val="en-US" w:eastAsia="zh-CN"/>
        </w:rPr>
        <w:t>您的</w:t>
      </w:r>
      <w:r>
        <w:rPr>
          <w:rFonts w:hint="eastAsia" w:ascii="微软雅黑" w:hAnsi="微软雅黑" w:eastAsia="微软雅黑" w:cs="微软雅黑"/>
          <w:b/>
          <w:bCs w:val="0"/>
          <w:sz w:val="20"/>
          <w:szCs w:val="20"/>
        </w:rPr>
        <w:t>权利</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与</w:t>
      </w:r>
      <w:r>
        <w:rPr>
          <w:rFonts w:hint="eastAsia" w:ascii="微软雅黑" w:hAnsi="微软雅黑" w:eastAsia="微软雅黑" w:cs="微软雅黑"/>
          <w:b/>
          <w:bCs w:val="0"/>
          <w:sz w:val="20"/>
          <w:szCs w:val="20"/>
          <w:lang w:val="en-US" w:eastAsia="zh-CN"/>
        </w:rPr>
        <w:t>您</w:t>
      </w:r>
      <w:r>
        <w:rPr>
          <w:rFonts w:hint="eastAsia" w:ascii="微软雅黑" w:hAnsi="微软雅黑" w:eastAsia="微软雅黑" w:cs="微软雅黑"/>
          <w:b/>
          <w:bCs w:val="0"/>
          <w:sz w:val="20"/>
          <w:szCs w:val="20"/>
        </w:rPr>
        <w:t>有重大利害关系的异常条款（特别是加黑字体</w:t>
      </w:r>
      <w:r>
        <w:rPr>
          <w:rFonts w:hint="eastAsia" w:ascii="微软雅黑" w:hAnsi="微软雅黑" w:eastAsia="微软雅黑" w:cs="微软雅黑"/>
          <w:b/>
          <w:bCs w:val="0"/>
          <w:sz w:val="20"/>
          <w:szCs w:val="20"/>
          <w:lang w:val="en-US" w:eastAsia="zh-CN"/>
        </w:rPr>
        <w:t>的</w:t>
      </w:r>
      <w:r>
        <w:rPr>
          <w:rFonts w:hint="eastAsia" w:ascii="微软雅黑" w:hAnsi="微软雅黑" w:eastAsia="微软雅黑" w:cs="微软雅黑"/>
          <w:b/>
          <w:bCs w:val="0"/>
          <w:sz w:val="20"/>
          <w:szCs w:val="20"/>
        </w:rPr>
        <w:t>条款）。如本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为通过广东华润银行电子业务系统线上签署的，如您</w:t>
      </w:r>
      <w:r>
        <w:rPr>
          <w:rFonts w:hint="eastAsia" w:ascii="微软雅黑" w:hAnsi="微软雅黑" w:eastAsia="微软雅黑" w:cs="微软雅黑"/>
          <w:b/>
          <w:bCs w:val="0"/>
          <w:sz w:val="20"/>
          <w:szCs w:val="20"/>
        </w:rPr>
        <w:t>不同意本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，请不要进行下一步操作</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您在</w:t>
      </w:r>
      <w:r>
        <w:rPr>
          <w:rFonts w:hint="eastAsia" w:ascii="微软雅黑" w:hAnsi="微软雅黑" w:eastAsia="微软雅黑" w:cs="微软雅黑"/>
          <w:b/>
          <w:bCs w:val="0"/>
          <w:sz w:val="20"/>
          <w:szCs w:val="20"/>
          <w:lang w:val="en-US" w:eastAsia="zh-CN"/>
        </w:rPr>
        <w:t>电子渠道</w:t>
      </w:r>
      <w:r>
        <w:rPr>
          <w:rFonts w:hint="eastAsia" w:ascii="微软雅黑" w:hAnsi="微软雅黑" w:eastAsia="微软雅黑" w:cs="微软雅黑"/>
          <w:b/>
          <w:bCs w:val="0"/>
          <w:sz w:val="20"/>
          <w:szCs w:val="20"/>
        </w:rPr>
        <w:t>操作页面上的</w:t>
      </w:r>
      <w:r>
        <w:rPr>
          <w:rFonts w:hint="eastAsia" w:ascii="微软雅黑" w:hAnsi="微软雅黑" w:eastAsia="微软雅黑" w:cs="微软雅黑"/>
          <w:b/>
          <w:bCs w:val="0"/>
          <w:sz w:val="20"/>
          <w:szCs w:val="20"/>
          <w:lang w:val="en-US" w:eastAsia="zh-CN"/>
        </w:rPr>
        <w:t>点击同意/</w:t>
      </w:r>
      <w:r>
        <w:rPr>
          <w:rFonts w:hint="eastAsia" w:ascii="微软雅黑" w:hAnsi="微软雅黑" w:eastAsia="微软雅黑" w:cs="微软雅黑"/>
          <w:b/>
          <w:bCs w:val="0"/>
          <w:sz w:val="20"/>
          <w:szCs w:val="20"/>
        </w:rPr>
        <w:t>确认、勾选等即表示您已阅读并同意本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，即</w:t>
      </w:r>
      <w:r>
        <w:rPr>
          <w:rFonts w:hint="eastAsia" w:ascii="微软雅黑" w:hAnsi="微软雅黑" w:eastAsia="微软雅黑" w:cs="微软雅黑"/>
          <w:b/>
          <w:bCs w:val="0"/>
          <w:sz w:val="20"/>
          <w:szCs w:val="20"/>
          <w:lang w:val="en-US" w:eastAsia="zh-CN"/>
        </w:rPr>
        <w:t>已完成签署并具有法律约束力</w:t>
      </w:r>
      <w:r>
        <w:rPr>
          <w:rFonts w:hint="eastAsia" w:ascii="微软雅黑" w:hAnsi="微软雅黑" w:eastAsia="微软雅黑" w:cs="微软雅黑"/>
          <w:b/>
          <w:bCs w:val="0"/>
          <w:sz w:val="20"/>
          <w:szCs w:val="20"/>
        </w:rPr>
        <w:t>。</w:t>
      </w:r>
    </w:p>
    <w:p>
      <w:pPr>
        <w:adjustRightInd/>
        <w:snapToGrid/>
        <w:spacing w:before="0" w:beforeLines="-2147483648" w:after="0" w:afterLines="-2147483648" w:line="320" w:lineRule="exact"/>
        <w:ind w:firstLine="400" w:firstLineChars="200"/>
        <w:jc w:val="left"/>
        <w:rPr>
          <w:rFonts w:hint="eastAsia" w:ascii="微软雅黑" w:hAnsi="微软雅黑" w:eastAsia="微软雅黑" w:cs="微软雅黑"/>
          <w:b/>
          <w:bCs w:val="0"/>
          <w:color w:val="000000"/>
          <w:kern w:val="0"/>
          <w:sz w:val="20"/>
          <w:szCs w:val="20"/>
          <w:lang w:val="en-US" w:eastAsia="zh-CN" w:bidi="ar"/>
        </w:rPr>
      </w:pPr>
      <w:r>
        <w:rPr>
          <w:rFonts w:hint="eastAsia" w:ascii="微软雅黑" w:hAnsi="微软雅黑" w:eastAsia="微软雅黑" w:cs="微软雅黑"/>
          <w:b/>
          <w:bCs w:val="0"/>
          <w:color w:val="000000"/>
          <w:kern w:val="0"/>
          <w:sz w:val="20"/>
          <w:szCs w:val="20"/>
          <w:lang w:val="en-US" w:eastAsia="zh-CN" w:bidi="ar"/>
        </w:rPr>
        <w:t>本理财产品不等同于银行存款，管理人不保证本理财产品一定盈利，也不保证最低收益和本金安全。理财产品过往业绩不代表其未来表现，不等于理财产品实际收益，投资须谨慎。</w:t>
      </w:r>
    </w:p>
    <w:p>
      <w:pPr>
        <w:adjustRightInd/>
        <w:snapToGrid/>
        <w:spacing w:before="0" w:beforeLines="-2147483648" w:after="0" w:afterLines="-2147483648" w:line="320" w:lineRule="exact"/>
        <w:ind w:left="0" w:right="0" w:firstLine="400" w:firstLineChars="200"/>
        <w:jc w:val="left"/>
        <w:rPr>
          <w:rFonts w:hint="eastAsia" w:ascii="微软雅黑" w:hAnsi="微软雅黑" w:eastAsia="微软雅黑" w:cs="微软雅黑"/>
          <w:b/>
          <w:bCs w:val="0"/>
          <w:color w:val="000000" w:themeColor="text1"/>
          <w:sz w:val="20"/>
          <w:szCs w:val="20"/>
          <w14:textFill>
            <w14:solidFill>
              <w14:schemeClr w14:val="tx1"/>
            </w14:solidFill>
          </w14:textFill>
        </w:rPr>
      </w:pPr>
      <w:r>
        <w:rPr>
          <w:rFonts w:hint="eastAsia" w:ascii="微软雅黑" w:hAnsi="微软雅黑" w:eastAsia="微软雅黑" w:cs="微软雅黑"/>
          <w:b/>
          <w:bCs w:val="0"/>
          <w:sz w:val="20"/>
          <w:szCs w:val="20"/>
        </w:rPr>
        <w:t>如您有任何疑虑</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异议或任何相关投诉，请您立即联系</w:t>
      </w:r>
      <w:r>
        <w:rPr>
          <w:rFonts w:hint="eastAsia" w:ascii="微软雅黑" w:hAnsi="微软雅黑" w:eastAsia="微软雅黑" w:cs="微软雅黑"/>
          <w:b/>
          <w:bCs w:val="0"/>
          <w:sz w:val="20"/>
          <w:szCs w:val="20"/>
          <w:lang w:val="en-US" w:eastAsia="zh-CN"/>
        </w:rPr>
        <w:t>广东华润银行</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联系方式：</w:t>
      </w:r>
      <w:r>
        <w:rPr>
          <w:rFonts w:hint="eastAsia" w:ascii="微软雅黑" w:hAnsi="微软雅黑" w:eastAsia="微软雅黑" w:cs="微软雅黑"/>
          <w:b/>
          <w:bCs w:val="0"/>
          <w:sz w:val="20"/>
          <w:szCs w:val="20"/>
        </w:rPr>
        <w:t>联系电话</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0756</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96588</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华润银行APP“在线客服”、官方网站(http://www.crbank.com.cn)以及</w:t>
      </w:r>
      <w:r>
        <w:rPr>
          <w:rFonts w:hint="eastAsia" w:ascii="微软雅黑" w:hAnsi="微软雅黑" w:eastAsia="微软雅黑" w:cs="微软雅黑"/>
          <w:b/>
          <w:bCs w:val="0"/>
          <w:sz w:val="20"/>
          <w:szCs w:val="20"/>
          <w:lang w:val="en-US" w:eastAsia="zh-CN"/>
        </w:rPr>
        <w:t>华润银行</w:t>
      </w:r>
      <w:r>
        <w:rPr>
          <w:rFonts w:hint="eastAsia" w:ascii="微软雅黑" w:hAnsi="微软雅黑" w:eastAsia="微软雅黑" w:cs="微软雅黑"/>
          <w:b/>
          <w:bCs w:val="0"/>
          <w:sz w:val="20"/>
          <w:szCs w:val="20"/>
        </w:rPr>
        <w:t>各营业网点</w:t>
      </w:r>
      <w:r>
        <w:rPr>
          <w:rFonts w:hint="eastAsia" w:ascii="微软雅黑" w:hAnsi="微软雅黑" w:eastAsia="微软雅黑" w:cs="微软雅黑"/>
          <w:b/>
          <w:bCs w:val="0"/>
          <w:sz w:val="20"/>
          <w:szCs w:val="20"/>
          <w:lang w:val="en-US" w:eastAsia="zh-CN"/>
        </w:rPr>
        <w:t>/理财经理</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，以便对相关内容进行解释</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说明</w:t>
      </w:r>
      <w:r>
        <w:rPr>
          <w:rFonts w:hint="eastAsia" w:ascii="微软雅黑" w:hAnsi="微软雅黑" w:eastAsia="微软雅黑" w:cs="微软雅黑"/>
          <w:b/>
          <w:bCs w:val="0"/>
          <w:sz w:val="20"/>
          <w:szCs w:val="20"/>
          <w:lang w:val="en-US" w:eastAsia="zh-CN"/>
        </w:rPr>
        <w:t>，对相关问题提供解决方案</w:t>
      </w:r>
      <w:r>
        <w:rPr>
          <w:rFonts w:hint="eastAsia" w:ascii="微软雅黑" w:hAnsi="微软雅黑" w:eastAsia="微软雅黑" w:cs="微软雅黑"/>
          <w:b/>
          <w:bCs w:val="0"/>
          <w:sz w:val="20"/>
          <w:szCs w:val="20"/>
        </w:rPr>
        <w:t>。</w:t>
      </w:r>
    </w:p>
    <w:p>
      <w:pPr>
        <w:tabs>
          <w:tab w:val="left" w:pos="570"/>
        </w:tabs>
        <w:adjustRightInd/>
        <w:snapToGrid/>
        <w:spacing w:before="2" w:beforeLines="-2147483648" w:after="0" w:afterLines="-2147483648" w:line="237" w:lineRule="auto"/>
        <w:ind w:left="0" w:right="60" w:firstLine="0" w:firstLineChars="0"/>
        <w:jc w:val="left"/>
        <w:rPr>
          <w:rFonts w:hint="eastAsia" w:ascii="方正黑体简体" w:hAnsi="方正黑体简体" w:eastAsia="方正黑体简体" w:cs="方正黑体简体"/>
          <w:b/>
          <w:bCs w:val="0"/>
          <w:sz w:val="18"/>
          <w:szCs w:val="18"/>
        </w:rPr>
      </w:pPr>
    </w:p>
    <w:p>
      <w:pPr>
        <w:numPr>
          <w:ilvl w:val="-1"/>
          <w:numId w:val="0"/>
        </w:numPr>
        <w:spacing w:beforeLines="0" w:afterLines="0" w:line="320" w:lineRule="exact"/>
        <w:ind w:left="0"/>
        <w:rPr>
          <w:rFonts w:hint="eastAsia" w:ascii="微软雅黑" w:hAnsi="微软雅黑" w:eastAsia="微软雅黑" w:cs="微软雅黑"/>
          <w:b/>
          <w:bCs/>
          <w:spacing w:val="0"/>
          <w:sz w:val="20"/>
          <w:szCs w:val="20"/>
          <w:highlight w:val="none"/>
          <w:lang w:val="en-US" w:eastAsia="zh-CN"/>
        </w:rPr>
      </w:pPr>
      <w:r>
        <w:rPr>
          <w:rFonts w:hint="eastAsia" w:ascii="微软雅黑" w:hAnsi="微软雅黑" w:eastAsia="微软雅黑" w:cs="微软雅黑"/>
          <w:b/>
          <w:bCs/>
          <w:spacing w:val="0"/>
          <w:sz w:val="20"/>
          <w:szCs w:val="20"/>
          <w:highlight w:val="none"/>
          <w:lang w:val="en-US" w:eastAsia="zh-CN"/>
        </w:rPr>
        <w:t>一、释义</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在本《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》中，下列词语或简称具有如下含义：</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广东</w:t>
      </w:r>
      <w:r>
        <w:rPr>
          <w:rFonts w:hint="eastAsia" w:ascii="微软雅黑" w:hAnsi="微软雅黑" w:eastAsia="微软雅黑" w:cs="微软雅黑"/>
          <w:sz w:val="20"/>
          <w:szCs w:val="20"/>
          <w:highlight w:val="none"/>
          <w:lang w:eastAsia="zh-CN"/>
        </w:rPr>
        <w:t>华润银行</w:t>
      </w:r>
      <w:r>
        <w:rPr>
          <w:rFonts w:hint="eastAsia" w:ascii="微软雅黑" w:hAnsi="微软雅黑" w:eastAsia="微软雅黑" w:cs="微软雅黑"/>
          <w:sz w:val="20"/>
          <w:szCs w:val="20"/>
          <w:highlight w:val="none"/>
        </w:rPr>
        <w:t>：指</w:t>
      </w:r>
      <w:r>
        <w:rPr>
          <w:rFonts w:hint="eastAsia" w:ascii="微软雅黑" w:hAnsi="微软雅黑" w:eastAsia="微软雅黑" w:cs="微软雅黑"/>
          <w:sz w:val="20"/>
          <w:szCs w:val="20"/>
          <w:highlight w:val="none"/>
          <w:lang w:eastAsia="zh-CN"/>
        </w:rPr>
        <w:t>广东华润银行股份有限公司</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2．元：指人民币元</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3．管理人/产品管理人：指</w:t>
      </w:r>
      <w:r>
        <w:rPr>
          <w:rFonts w:hint="eastAsia" w:ascii="微软雅黑" w:hAnsi="微软雅黑" w:eastAsia="微软雅黑" w:cs="微软雅黑"/>
          <w:sz w:val="20"/>
          <w:szCs w:val="20"/>
          <w:highlight w:val="none"/>
          <w:lang w:eastAsia="zh-CN"/>
        </w:rPr>
        <w:t>广东华润银行股份有限公司</w:t>
      </w:r>
      <w:r>
        <w:rPr>
          <w:rFonts w:hint="eastAsia" w:ascii="微软雅黑" w:hAnsi="微软雅黑" w:eastAsia="微软雅黑" w:cs="微软雅黑"/>
          <w:sz w:val="20"/>
          <w:szCs w:val="20"/>
          <w:highlight w:val="none"/>
        </w:rPr>
        <w:t>。产品管理人接受投资者的委托和授权，按照本理财</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约定的投资范围和比例，进行投资运作和资产管理，代表理财产品签订投资和资产管理过程中涉及到的协议、合同等文本。</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4．托管人/产品托管人：指</w:t>
      </w:r>
      <w:r>
        <w:rPr>
          <w:rFonts w:hint="eastAsia" w:ascii="微软雅黑" w:hAnsi="微软雅黑" w:eastAsia="微软雅黑" w:cs="微软雅黑"/>
          <w:sz w:val="20"/>
          <w:szCs w:val="20"/>
          <w:highlight w:val="none"/>
          <w:lang w:val="en-US" w:eastAsia="zh-CN"/>
        </w:rPr>
        <w:t>宁波</w:t>
      </w:r>
      <w:r>
        <w:rPr>
          <w:rFonts w:hint="eastAsia" w:ascii="微软雅黑" w:hAnsi="微软雅黑" w:eastAsia="微软雅黑" w:cs="微软雅黑"/>
          <w:sz w:val="20"/>
          <w:szCs w:val="20"/>
          <w:highlight w:val="none"/>
        </w:rPr>
        <w:t>银行股份有限公司。其具备理财产品托管资格，提供包括账户开立、资金保管、资产清算、估值核算等理财产品托管服务。</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5．销售机构：指</w:t>
      </w:r>
      <w:r>
        <w:rPr>
          <w:rFonts w:hint="eastAsia" w:ascii="微软雅黑" w:hAnsi="微软雅黑" w:eastAsia="微软雅黑" w:cs="微软雅黑"/>
          <w:sz w:val="20"/>
          <w:szCs w:val="20"/>
          <w:highlight w:val="none"/>
          <w:lang w:eastAsia="zh-CN"/>
        </w:rPr>
        <w:t>广东华润银行股份有限公司。</w:t>
      </w:r>
      <w:r>
        <w:rPr>
          <w:rFonts w:hint="eastAsia" w:ascii="微软雅黑" w:hAnsi="微软雅黑" w:eastAsia="微软雅黑" w:cs="微软雅黑"/>
          <w:sz w:val="20"/>
          <w:szCs w:val="20"/>
          <w:highlight w:val="none"/>
          <w:lang w:val="en-US" w:eastAsia="zh-CN"/>
        </w:rPr>
        <w:t>其</w:t>
      </w:r>
      <w:r>
        <w:rPr>
          <w:rFonts w:hint="eastAsia" w:ascii="微软雅黑" w:hAnsi="微软雅黑" w:eastAsia="微软雅黑" w:cs="微软雅黑"/>
          <w:sz w:val="20"/>
          <w:szCs w:val="20"/>
          <w:highlight w:val="none"/>
        </w:rPr>
        <w:t>负责理财产品宣传推广、投资者风险承受能力评估和投资者适当性管理、理财产品</w:t>
      </w:r>
      <w:r>
        <w:rPr>
          <w:rFonts w:hint="eastAsia" w:ascii="微软雅黑" w:hAnsi="微软雅黑" w:eastAsia="微软雅黑" w:cs="微软雅黑"/>
          <w:sz w:val="20"/>
          <w:szCs w:val="20"/>
          <w:highlight w:val="none"/>
          <w:lang w:eastAsia="zh-CN"/>
        </w:rPr>
        <w:t>投资者</w:t>
      </w:r>
      <w:r>
        <w:rPr>
          <w:rFonts w:hint="eastAsia" w:ascii="微软雅黑" w:hAnsi="微软雅黑" w:eastAsia="微软雅黑" w:cs="微软雅黑"/>
          <w:sz w:val="20"/>
          <w:szCs w:val="20"/>
          <w:highlight w:val="none"/>
        </w:rPr>
        <w:t>身份识别</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理财产品份额认购/申购/赎回（如有）、合同签署、接受投资者咨询和</w:t>
      </w:r>
      <w:r>
        <w:rPr>
          <w:rFonts w:hint="eastAsia" w:ascii="微软雅黑" w:hAnsi="微软雅黑" w:eastAsia="微软雅黑" w:cs="微软雅黑"/>
          <w:sz w:val="20"/>
          <w:szCs w:val="20"/>
          <w:highlight w:val="none"/>
          <w:lang w:eastAsia="zh-CN"/>
        </w:rPr>
        <w:t>投资者</w:t>
      </w:r>
      <w:r>
        <w:rPr>
          <w:rFonts w:hint="eastAsia" w:ascii="微软雅黑" w:hAnsi="微软雅黑" w:eastAsia="微软雅黑" w:cs="微软雅黑"/>
          <w:sz w:val="20"/>
          <w:szCs w:val="20"/>
          <w:highlight w:val="none"/>
        </w:rPr>
        <w:t>维护等销售服务工作。</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6．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产品管理人与投资合作机构签署的合同为准。本理财产品投资合作机构可能包括但不限于:证券管理有限公司、基金管理有限公司、资产管理有限公司等，理财产品管理人可根据产品实际运作情况，在符合监管要求的前提下调整理财投资合作机构。</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7．</w:t>
      </w:r>
      <w:r>
        <w:rPr>
          <w:rFonts w:hint="eastAsia" w:ascii="微软雅黑" w:hAnsi="微软雅黑" w:eastAsia="微软雅黑" w:cs="微软雅黑"/>
          <w:sz w:val="20"/>
          <w:szCs w:val="20"/>
          <w:highlight w:val="none"/>
          <w:lang w:val="en-US" w:eastAsia="zh-CN"/>
        </w:rPr>
        <w:t>客户/</w:t>
      </w:r>
      <w:r>
        <w:rPr>
          <w:rFonts w:hint="eastAsia" w:ascii="微软雅黑" w:hAnsi="微软雅黑" w:eastAsia="微软雅黑" w:cs="微软雅黑"/>
          <w:sz w:val="20"/>
          <w:szCs w:val="20"/>
          <w:highlight w:val="none"/>
        </w:rPr>
        <w:t>投资者：指依据本《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》成功购买本理财产品份额的个人投资者/机构投资者。</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8．合格投资者：具备相应风险识别能力和风险承受能力，投资于单只理财产品不低于一定金额且符合一定条件的投资主体。</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9．开放式理财产品：指自产品成立日至终止日期间，理财产品份额总额不固定，投资者可以按照协议约定，在开放日和相应场所进行认购或者赎回的理财产品。</w:t>
      </w:r>
    </w:p>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10.固定收益类理财产品：指投资于存款、债券等债权类资产的比例不低于80%的理财产品。</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rPr>
        <w:t>．募集期：指本理财产品自发售之日到正式成立之间的时间段。产品管理人有权根据市场变化情况缩短或延长募集期，并进行信息披露。</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2</w:t>
      </w:r>
      <w:r>
        <w:rPr>
          <w:rFonts w:hint="eastAsia" w:ascii="微软雅黑" w:hAnsi="微软雅黑" w:eastAsia="微软雅黑" w:cs="微软雅黑"/>
          <w:sz w:val="20"/>
          <w:szCs w:val="20"/>
          <w:highlight w:val="none"/>
        </w:rPr>
        <w:t>．成立日/产品起始日：指达到本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约定的成立条件后本理财产品成立的日期。若产品募集期缩短或延长，产品成立日以公告为准。</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rPr>
        <w:t>．申购申请时间段：指本理财产品可以提出申购以及撤销申购的时间段。</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投资周期：指投资者持有理财产品份额所对应的理财资金由产品管理人进行投资运作的一段完整期间。每个投资周期指该投资者持有的对应理财产品份额起始日/申购确认日至该投资者持有的对应理财产品份额赎回确认日的期间。一个投资周期结束后，</w:t>
      </w:r>
      <w:r>
        <w:rPr>
          <w:rFonts w:hint="eastAsia" w:ascii="微软雅黑" w:hAnsi="微软雅黑" w:eastAsia="微软雅黑" w:cs="微软雅黑"/>
          <w:sz w:val="20"/>
          <w:szCs w:val="20"/>
          <w:highlight w:val="none"/>
          <w:lang w:val="en-US" w:eastAsia="zh-CN"/>
        </w:rPr>
        <w:t>投资者持有份额将自动到期，无需投资者发起申请</w:t>
      </w:r>
      <w:r>
        <w:rPr>
          <w:rFonts w:hint="eastAsia" w:ascii="微软雅黑" w:hAnsi="微软雅黑" w:eastAsia="微软雅黑" w:cs="微软雅黑"/>
          <w:sz w:val="20"/>
          <w:szCs w:val="20"/>
          <w:highlight w:val="none"/>
        </w:rPr>
        <w:t>。</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．申购/赎回确认日：指产品管理人确认投资者申购/赎回申请有效性的日期。</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rPr>
        <w:t>．存续期：指自本理财产品起始日至理财产品终止日的期间。</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17．产品终止日：本</w:t>
      </w:r>
      <w:r>
        <w:rPr>
          <w:rFonts w:hint="eastAsia" w:ascii="微软雅黑" w:hAnsi="微软雅黑" w:eastAsia="微软雅黑" w:cs="微软雅黑"/>
          <w:sz w:val="20"/>
          <w:szCs w:val="20"/>
          <w:highlight w:val="none"/>
          <w:lang w:val="en-US" w:eastAsia="zh-CN"/>
        </w:rPr>
        <w:t>理财</w:t>
      </w:r>
      <w:r>
        <w:rPr>
          <w:rFonts w:hint="eastAsia" w:ascii="微软雅黑" w:hAnsi="微软雅黑" w:eastAsia="微软雅黑" w:cs="微软雅黑"/>
          <w:sz w:val="20"/>
          <w:szCs w:val="20"/>
          <w:highlight w:val="none"/>
        </w:rPr>
        <w:t>产品为开放式理财产品，不设固定到期日，但广东华润银行有权根据情况终止本产品。</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18．认购：指在本理财产品募集期间，投资者按照本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规定购买本理财产品份额的行为。</w:t>
      </w:r>
    </w:p>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rPr>
        <w:t>19．申购</w:t>
      </w:r>
      <w:r>
        <w:rPr>
          <w:rFonts w:hint="eastAsia" w:ascii="微软雅黑" w:hAnsi="微软雅黑" w:eastAsia="微软雅黑" w:cs="微软雅黑"/>
          <w:sz w:val="20"/>
          <w:szCs w:val="20"/>
          <w:highlight w:val="none"/>
          <w:lang w:val="en-US" w:eastAsia="zh-CN"/>
        </w:rPr>
        <w:t>/赎回</w:t>
      </w:r>
      <w:r>
        <w:rPr>
          <w:rFonts w:hint="eastAsia" w:ascii="微软雅黑" w:hAnsi="微软雅黑" w:eastAsia="微软雅黑" w:cs="微软雅黑"/>
          <w:sz w:val="20"/>
          <w:szCs w:val="20"/>
          <w:highlight w:val="none"/>
        </w:rPr>
        <w:t>：指在</w:t>
      </w:r>
      <w:r>
        <w:rPr>
          <w:rFonts w:hint="eastAsia" w:ascii="微软雅黑" w:hAnsi="微软雅黑" w:eastAsia="微软雅黑" w:cs="微软雅黑"/>
          <w:sz w:val="20"/>
          <w:szCs w:val="20"/>
          <w:highlight w:val="none"/>
          <w:lang w:val="en-US" w:eastAsia="zh-CN"/>
        </w:rPr>
        <w:t>本理财产品</w:t>
      </w:r>
      <w:r>
        <w:rPr>
          <w:rFonts w:hint="eastAsia" w:ascii="微软雅黑" w:hAnsi="微软雅黑" w:eastAsia="微软雅黑" w:cs="微软雅黑"/>
          <w:sz w:val="20"/>
          <w:szCs w:val="20"/>
          <w:highlight w:val="none"/>
        </w:rPr>
        <w:t>的开放期内，投资者向</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管理人提出申请对理财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份额进行购买或卖出的行为</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本理财产品在投资者成功认购/申购理财产品份额后，一个投资周期结束后，投资者持有份额将自动到期，无需投资者发起申请。</w:t>
      </w:r>
    </w:p>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20.巨额赎回：在本理财产品存续期内，若理财产品单个</w:t>
      </w:r>
      <w:r>
        <w:rPr>
          <w:rFonts w:hint="eastAsia" w:ascii="微软雅黑" w:hAnsi="微软雅黑" w:eastAsia="微软雅黑" w:cs="微软雅黑"/>
          <w:sz w:val="20"/>
          <w:szCs w:val="20"/>
          <w:highlight w:val="none"/>
        </w:rPr>
        <w:t>申购/赎回确认日</w:t>
      </w:r>
      <w:r>
        <w:rPr>
          <w:rFonts w:hint="eastAsia" w:ascii="微软雅黑" w:hAnsi="微软雅黑" w:eastAsia="微软雅黑" w:cs="微软雅黑"/>
          <w:sz w:val="20"/>
          <w:szCs w:val="20"/>
          <w:highlight w:val="none"/>
          <w:lang w:val="en-US" w:eastAsia="zh-CN"/>
        </w:rPr>
        <w:t>净赎回申请份额（赎回申请份额总数扣除申购申请份额总数）超过本理财产品上一交易日日终份额的10%时，即为发生巨额赎回。</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1.产品净值</w:t>
      </w:r>
      <w:r>
        <w:rPr>
          <w:rFonts w:hint="eastAsia" w:ascii="微软雅黑" w:hAnsi="微软雅黑" w:eastAsia="微软雅黑" w:cs="微软雅黑"/>
          <w:sz w:val="20"/>
          <w:szCs w:val="20"/>
          <w:highlight w:val="none"/>
        </w:rPr>
        <w:t>：指理财产品份额净值。</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2.</w:t>
      </w:r>
      <w:r>
        <w:rPr>
          <w:rFonts w:hint="eastAsia" w:ascii="微软雅黑" w:hAnsi="微软雅黑" w:eastAsia="微软雅黑" w:cs="微软雅黑"/>
          <w:sz w:val="20"/>
          <w:szCs w:val="20"/>
          <w:highlight w:val="none"/>
        </w:rPr>
        <w:t>业绩比较基准：</w:t>
      </w:r>
      <w:r>
        <w:rPr>
          <w:rFonts w:hint="eastAsia" w:ascii="微软雅黑" w:hAnsi="微软雅黑" w:eastAsia="微软雅黑" w:cs="微软雅黑"/>
          <w:sz w:val="20"/>
          <w:szCs w:val="20"/>
          <w:highlight w:val="none"/>
          <w:lang w:val="en-US" w:eastAsia="zh-CN"/>
        </w:rPr>
        <w:t>指产品管理人</w:t>
      </w:r>
      <w:r>
        <w:rPr>
          <w:rFonts w:hint="eastAsia" w:ascii="微软雅黑" w:hAnsi="微软雅黑" w:eastAsia="微软雅黑" w:cs="微软雅黑"/>
          <w:sz w:val="20"/>
          <w:szCs w:val="20"/>
          <w:highlight w:val="none"/>
        </w:rPr>
        <w:t>基于产品性质、投资策略、过往经验、未来市场预判等因素，并参照理财产品发行时市场利率水平和投资资产的综合表现对产品设定的投资目标，不代表理财产品的未来表现和实际收益，不构成对理财产品收益的承诺。</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rPr>
        <w:t>工作日：指除中国法定节假日和公休日外的其他日期。</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T日：指某一事件或行为发生的当日，具体以相关条款约定为准。</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到期兑付：理财资金将在</w:t>
      </w:r>
      <w:r>
        <w:rPr>
          <w:rFonts w:hint="eastAsia" w:ascii="微软雅黑" w:hAnsi="微软雅黑" w:eastAsia="微软雅黑" w:cs="微软雅黑"/>
          <w:sz w:val="20"/>
          <w:szCs w:val="20"/>
          <w:highlight w:val="none"/>
          <w:lang w:val="en-US" w:eastAsia="zh-CN"/>
        </w:rPr>
        <w:t>终止日</w:t>
      </w:r>
      <w:r>
        <w:rPr>
          <w:rFonts w:hint="eastAsia" w:ascii="微软雅黑" w:hAnsi="微软雅黑" w:eastAsia="微软雅黑" w:cs="微软雅黑"/>
          <w:sz w:val="20"/>
          <w:szCs w:val="20"/>
          <w:highlight w:val="none"/>
        </w:rPr>
        <w:t>后3个工作日内自动到账。</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rPr>
        <w:t>．摆动定价：指当开放式公募理财产品（现金管理类理财产品除外）遭遇大额申购或赎回时，通过调整理财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份额净值的方式，将理财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调整投资组合的市场冲击成本分配给实际申购、赎回的投资者，从而减少对存量理财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份额持有人利益的不利影响，确保投资者的合法权益不受损害并得到公平对待。</w:t>
      </w:r>
    </w:p>
    <w:p>
      <w:pPr>
        <w:numPr>
          <w:ilvl w:val="-1"/>
          <w:numId w:val="0"/>
        </w:num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27.</w:t>
      </w:r>
      <w:r>
        <w:rPr>
          <w:rFonts w:hint="eastAsia" w:ascii="微软雅黑" w:hAnsi="微软雅黑" w:eastAsia="微软雅黑" w:cs="微软雅黑"/>
          <w:sz w:val="20"/>
          <w:szCs w:val="20"/>
          <w:highlight w:val="none"/>
        </w:rPr>
        <w:t>清算期：理财产品到期日或提前终止日至理财资金返还到帐日为理财产品清算期，清算期内资金不计付利息。</w:t>
      </w:r>
    </w:p>
    <w:p>
      <w:pPr>
        <w:numPr>
          <w:ilvl w:val="-1"/>
          <w:numId w:val="0"/>
        </w:num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28.理财产品合同：指《产品说明书》、《风险揭示书》和《销售协议书》的总称。</w:t>
      </w:r>
    </w:p>
    <w:p>
      <w:pPr>
        <w:numPr>
          <w:ilvl w:val="-1"/>
          <w:numId w:val="0"/>
        </w:num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29.销售文件：指《产品说明书》、《风险揭示书》、《销售协议书》和《投资者权益须知》。</w:t>
      </w:r>
    </w:p>
    <w:p>
      <w:pPr>
        <w:numPr>
          <w:ilvl w:val="-1"/>
          <w:numId w:val="0"/>
        </w:numPr>
        <w:spacing w:beforeLines="0" w:afterLines="0" w:line="320" w:lineRule="exact"/>
        <w:rPr>
          <w:rFonts w:hint="eastAsia" w:ascii="微软雅黑" w:hAnsi="微软雅黑" w:eastAsia="微软雅黑" w:cs="微软雅黑"/>
          <w:position w:val="0"/>
          <w:sz w:val="20"/>
          <w:szCs w:val="20"/>
          <w:highlight w:val="none"/>
          <w:lang w:val="en-US" w:eastAsia="zh-CN" w:bidi="ar"/>
        </w:rPr>
      </w:pPr>
      <w:r>
        <w:rPr>
          <w:rFonts w:hint="eastAsia" w:ascii="微软雅黑" w:hAnsi="微软雅黑" w:eastAsia="微软雅黑" w:cs="微软雅黑"/>
          <w:sz w:val="20"/>
          <w:szCs w:val="20"/>
          <w:highlight w:val="none"/>
          <w:lang w:val="en-US" w:eastAsia="zh-CN"/>
        </w:rPr>
        <w:t>30.</w:t>
      </w:r>
      <w:r>
        <w:rPr>
          <w:rFonts w:hint="eastAsia" w:ascii="微软雅黑" w:hAnsi="微软雅黑" w:eastAsia="微软雅黑" w:cs="微软雅黑"/>
          <w:b w:val="0"/>
          <w:bCs w:val="0"/>
          <w:kern w:val="2"/>
          <w:sz w:val="20"/>
          <w:szCs w:val="20"/>
          <w:highlight w:val="none"/>
          <w:lang w:val="en-US" w:eastAsia="zh-CN" w:bidi="ar"/>
        </w:rPr>
        <w:t>理财产品/产品：指</w:t>
      </w:r>
      <w:r>
        <w:rPr>
          <w:rFonts w:hint="eastAsia" w:ascii="微软雅黑" w:hAnsi="微软雅黑" w:eastAsia="微软雅黑" w:cs="微软雅黑"/>
          <w:spacing w:val="0"/>
          <w:position w:val="0"/>
          <w:sz w:val="20"/>
          <w:szCs w:val="20"/>
          <w:highlight w:val="none"/>
          <w:lang w:val="en-US" w:eastAsia="zh-CN" w:bidi="ar"/>
        </w:rPr>
        <w:t>广东华润银行</w:t>
      </w:r>
      <w:r>
        <w:rPr>
          <w:rFonts w:hint="eastAsia" w:ascii="微软雅黑" w:hAnsi="微软雅黑" w:eastAsia="微软雅黑" w:cs="微软雅黑"/>
          <w:sz w:val="20"/>
          <w:szCs w:val="20"/>
          <w:highlight w:val="none"/>
        </w:rPr>
        <w:t>润悦</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rPr>
        <w:t>号第</w:t>
      </w:r>
      <w:r>
        <w:rPr>
          <w:rFonts w:hint="eastAsia" w:ascii="微软雅黑" w:hAnsi="微软雅黑" w:eastAsia="微软雅黑" w:cs="微软雅黑"/>
          <w:sz w:val="20"/>
          <w:szCs w:val="20"/>
          <w:highlight w:val="none"/>
          <w:lang w:val="en-US" w:eastAsia="zh-CN"/>
        </w:rPr>
        <w:t>XX</w:t>
      </w:r>
      <w:r>
        <w:rPr>
          <w:rFonts w:hint="eastAsia" w:ascii="微软雅黑" w:hAnsi="微软雅黑" w:eastAsia="微软雅黑" w:cs="微软雅黑"/>
          <w:sz w:val="20"/>
          <w:szCs w:val="20"/>
          <w:highlight w:val="none"/>
        </w:rPr>
        <w:t>期理财产品</w:t>
      </w:r>
      <w:r>
        <w:rPr>
          <w:rFonts w:hint="eastAsia" w:ascii="微软雅黑" w:hAnsi="微软雅黑" w:eastAsia="微软雅黑" w:cs="微软雅黑"/>
          <w:position w:val="0"/>
          <w:sz w:val="20"/>
          <w:szCs w:val="20"/>
          <w:highlight w:val="none"/>
          <w:lang w:val="en-US" w:eastAsia="zh-CN" w:bidi="ar"/>
        </w:rPr>
        <w:t>。</w:t>
      </w:r>
    </w:p>
    <w:p>
      <w:pPr>
        <w:spacing w:before="313" w:beforeLines="10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val="en-US" w:eastAsia="zh-CN"/>
        </w:rPr>
        <w:t>二</w:t>
      </w:r>
      <w:r>
        <w:rPr>
          <w:rFonts w:hint="eastAsia" w:ascii="微软雅黑" w:hAnsi="微软雅黑" w:eastAsia="微软雅黑" w:cs="微软雅黑"/>
          <w:b/>
          <w:sz w:val="20"/>
          <w:szCs w:val="20"/>
          <w:highlight w:val="none"/>
        </w:rPr>
        <w:t>、产品概述</w:t>
      </w:r>
    </w:p>
    <w:tbl>
      <w:tblPr>
        <w:tblStyle w:val="5"/>
        <w:tblW w:w="8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6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产品名称</w:t>
            </w:r>
          </w:p>
        </w:tc>
        <w:tc>
          <w:tcPr>
            <w:tcW w:w="6290"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银行润悦1号第</w:t>
            </w:r>
            <w:r>
              <w:rPr>
                <w:rFonts w:hint="eastAsia" w:ascii="微软雅黑" w:hAnsi="微软雅黑" w:eastAsia="微软雅黑" w:cs="微软雅黑"/>
                <w:sz w:val="20"/>
                <w:szCs w:val="20"/>
                <w:highlight w:val="none"/>
                <w:lang w:val="en-US" w:eastAsia="zh-CN"/>
              </w:rPr>
              <w:t>943期</w:t>
            </w:r>
            <w:r>
              <w:rPr>
                <w:rFonts w:hint="eastAsia" w:ascii="微软雅黑" w:hAnsi="微软雅黑" w:eastAsia="微软雅黑" w:cs="微软雅黑"/>
                <w:sz w:val="20"/>
                <w:szCs w:val="20"/>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产品简称</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润悦1号第</w:t>
            </w:r>
            <w:r>
              <w:rPr>
                <w:rFonts w:hint="eastAsia" w:ascii="微软雅黑" w:hAnsi="微软雅黑" w:eastAsia="微软雅黑" w:cs="微软雅黑"/>
                <w:sz w:val="20"/>
                <w:szCs w:val="20"/>
                <w:highlight w:val="none"/>
                <w:lang w:val="en-US" w:eastAsia="zh-CN"/>
              </w:rPr>
              <w:t>943期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产品代码</w:t>
            </w:r>
          </w:p>
        </w:tc>
        <w:tc>
          <w:tcPr>
            <w:tcW w:w="6290" w:type="dxa"/>
            <w:noWrap w:val="0"/>
            <w:vAlign w:val="top"/>
          </w:tcPr>
          <w:p>
            <w:pPr>
              <w:spacing w:beforeLines="0" w:afterLines="0" w:line="320" w:lineRule="exact"/>
              <w:rPr>
                <w:rFonts w:hint="default" w:ascii="微软雅黑" w:hAnsi="微软雅黑" w:eastAsia="微软雅黑" w:cs="微软雅黑"/>
                <w:sz w:val="20"/>
                <w:szCs w:val="20"/>
                <w:highlight w:val="none"/>
                <w:lang w:val="en-US" w:eastAsia="zh-CN"/>
              </w:rPr>
            </w:pPr>
            <w:r>
              <w:rPr>
                <w:rFonts w:hint="eastAsia" w:ascii="微软雅黑" w:hAnsi="微软雅黑" w:eastAsia="微软雅黑"/>
                <w:szCs w:val="21"/>
                <w:highlight w:val="none"/>
              </w:rPr>
              <w:t>RY1</w:t>
            </w:r>
            <w:r>
              <w:rPr>
                <w:rFonts w:hint="eastAsia" w:ascii="微软雅黑" w:hAnsi="微软雅黑" w:eastAsia="微软雅黑"/>
                <w:szCs w:val="21"/>
                <w:highlight w:val="none"/>
                <w:lang w:val="en-US" w:eastAsia="zh-CN"/>
              </w:rPr>
              <w:t>0943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理财信息登记系统登记编码</w:t>
            </w:r>
          </w:p>
        </w:tc>
        <w:tc>
          <w:tcPr>
            <w:tcW w:w="629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224</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客户可根据该登记编码在“中国理财网（www.chinawealth.com.cn）”查询该产品信息。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beforeLines="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rPr>
              <w:t>投资及收益币种</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产品类型</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收益类型</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发行方式</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投资及收益币种</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产品风险评级</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R2级（本风险评级为</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适合客户</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机构客户和经</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银行（含</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销售渠道</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bCs/>
                <w:sz w:val="20"/>
                <w:szCs w:val="20"/>
                <w:highlight w:val="none"/>
                <w:lang w:eastAsia="zh-CN"/>
              </w:rPr>
              <w:t>广东华润</w:t>
            </w:r>
            <w:r>
              <w:rPr>
                <w:rFonts w:hint="eastAsia" w:ascii="微软雅黑" w:hAnsi="微软雅黑" w:eastAsia="微软雅黑" w:cs="微软雅黑"/>
                <w:bCs/>
                <w:sz w:val="20"/>
                <w:szCs w:val="20"/>
                <w:highlight w:val="none"/>
              </w:rPr>
              <w:t>银行各营业网点或电子销售渠道或经</w:t>
            </w:r>
            <w:r>
              <w:rPr>
                <w:rFonts w:hint="eastAsia" w:ascii="微软雅黑" w:hAnsi="微软雅黑" w:eastAsia="微软雅黑" w:cs="微软雅黑"/>
                <w:bCs/>
                <w:sz w:val="20"/>
                <w:szCs w:val="20"/>
                <w:highlight w:val="none"/>
                <w:lang w:eastAsia="zh-CN"/>
              </w:rPr>
              <w:t>广东华润</w:t>
            </w:r>
            <w:r>
              <w:rPr>
                <w:rFonts w:hint="eastAsia" w:ascii="微软雅黑" w:hAnsi="微软雅黑" w:eastAsia="微软雅黑" w:cs="微软雅黑"/>
                <w:bCs/>
                <w:sz w:val="20"/>
                <w:szCs w:val="20"/>
                <w:highlight w:val="none"/>
              </w:rPr>
              <w:t>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产品规模</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募集规模不超过</w:t>
            </w:r>
            <w:r>
              <w:rPr>
                <w:rFonts w:hint="eastAsia" w:ascii="微软雅黑" w:hAnsi="微软雅黑" w:eastAsia="微软雅黑" w:cs="微软雅黑"/>
                <w:sz w:val="20"/>
                <w:szCs w:val="20"/>
                <w:highlight w:val="none"/>
                <w:lang w:val="en-US" w:eastAsia="zh-CN"/>
              </w:rPr>
              <w:t>2亿</w:t>
            </w:r>
            <w:r>
              <w:rPr>
                <w:rFonts w:hint="eastAsia" w:ascii="微软雅黑" w:hAnsi="微软雅黑" w:eastAsia="微软雅黑" w:cs="微软雅黑"/>
                <w:sz w:val="20"/>
                <w:szCs w:val="20"/>
                <w:highlight w:val="none"/>
              </w:rPr>
              <w:t>元。</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成立日</w:t>
            </w: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u w:val="single"/>
                <w:lang w:val="en-US" w:eastAsia="zh-CN"/>
              </w:rPr>
              <w:t>2026</w:t>
            </w:r>
            <w:r>
              <w:rPr>
                <w:rFonts w:hint="eastAsia" w:ascii="微软雅黑" w:hAnsi="微软雅黑" w:eastAsia="微软雅黑" w:cs="微软雅黑"/>
                <w:sz w:val="20"/>
                <w:szCs w:val="20"/>
                <w:highlight w:val="none"/>
                <w:u w:val="single"/>
              </w:rPr>
              <w:t>年</w:t>
            </w:r>
            <w:r>
              <w:rPr>
                <w:rFonts w:hint="eastAsia" w:ascii="微软雅黑" w:hAnsi="微软雅黑" w:eastAsia="微软雅黑" w:cs="微软雅黑"/>
                <w:sz w:val="20"/>
                <w:szCs w:val="20"/>
                <w:highlight w:val="none"/>
                <w:u w:val="single"/>
                <w:lang w:val="en-US" w:eastAsia="zh-CN"/>
              </w:rPr>
              <w:t>5</w:t>
            </w:r>
            <w:r>
              <w:rPr>
                <w:rFonts w:hint="eastAsia" w:ascii="微软雅黑" w:hAnsi="微软雅黑" w:eastAsia="微软雅黑" w:cs="微软雅黑"/>
                <w:sz w:val="20"/>
                <w:szCs w:val="20"/>
                <w:highlight w:val="none"/>
                <w:u w:val="single"/>
              </w:rPr>
              <w:t>月</w:t>
            </w:r>
            <w:r>
              <w:rPr>
                <w:rFonts w:hint="eastAsia" w:ascii="微软雅黑" w:hAnsi="微软雅黑" w:eastAsia="微软雅黑" w:cs="微软雅黑"/>
                <w:sz w:val="20"/>
                <w:szCs w:val="20"/>
                <w:highlight w:val="none"/>
                <w:u w:val="single"/>
                <w:lang w:val="en-US" w:eastAsia="zh-CN"/>
              </w:rPr>
              <w:t>13</w:t>
            </w:r>
            <w:r>
              <w:rPr>
                <w:rFonts w:hint="eastAsia" w:ascii="微软雅黑" w:hAnsi="微软雅黑" w:eastAsia="微软雅黑" w:cs="微软雅黑"/>
                <w:sz w:val="20"/>
                <w:szCs w:val="20"/>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到期日</w:t>
            </w: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u w:val="single"/>
                <w:lang w:val="en-US" w:eastAsia="zh-CN"/>
              </w:rPr>
              <w:t>2028</w:t>
            </w:r>
            <w:r>
              <w:rPr>
                <w:rFonts w:hint="eastAsia" w:ascii="微软雅黑" w:hAnsi="微软雅黑" w:eastAsia="微软雅黑" w:cs="微软雅黑"/>
                <w:sz w:val="20"/>
                <w:szCs w:val="20"/>
                <w:highlight w:val="none"/>
                <w:u w:val="single"/>
              </w:rPr>
              <w:t>年</w:t>
            </w:r>
            <w:r>
              <w:rPr>
                <w:rFonts w:hint="eastAsia" w:ascii="微软雅黑" w:hAnsi="微软雅黑" w:eastAsia="微软雅黑" w:cs="微软雅黑"/>
                <w:sz w:val="20"/>
                <w:szCs w:val="20"/>
                <w:highlight w:val="none"/>
                <w:u w:val="single"/>
                <w:lang w:val="en-US" w:eastAsia="zh-CN"/>
              </w:rPr>
              <w:t>5</w:t>
            </w:r>
            <w:r>
              <w:rPr>
                <w:rFonts w:hint="eastAsia" w:ascii="微软雅黑" w:hAnsi="微软雅黑" w:eastAsia="微软雅黑" w:cs="微软雅黑"/>
                <w:sz w:val="20"/>
                <w:szCs w:val="20"/>
                <w:highlight w:val="none"/>
                <w:u w:val="single"/>
              </w:rPr>
              <w:t>月</w:t>
            </w:r>
            <w:r>
              <w:rPr>
                <w:rFonts w:hint="eastAsia" w:ascii="微软雅黑" w:hAnsi="微软雅黑" w:eastAsia="微软雅黑" w:cs="微软雅黑"/>
                <w:sz w:val="20"/>
                <w:szCs w:val="20"/>
                <w:highlight w:val="none"/>
                <w:u w:val="single"/>
                <w:lang w:val="en-US" w:eastAsia="zh-CN"/>
              </w:rPr>
              <w:t>16日</w:t>
            </w:r>
            <w:r>
              <w:rPr>
                <w:rFonts w:hint="eastAsia" w:ascii="微软雅黑" w:hAnsi="微软雅黑" w:eastAsia="微软雅黑" w:cs="微软雅黑"/>
                <w:sz w:val="20"/>
                <w:szCs w:val="20"/>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期限</w:t>
            </w: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sz w:val="20"/>
                <w:szCs w:val="20"/>
                <w:highlight w:val="none"/>
                <w:u w:val="single"/>
              </w:rPr>
            </w:pPr>
            <w:r>
              <w:rPr>
                <w:rFonts w:hint="eastAsia" w:ascii="微软雅黑" w:hAnsi="微软雅黑" w:eastAsia="微软雅黑" w:cs="微软雅黑"/>
                <w:sz w:val="20"/>
                <w:szCs w:val="20"/>
                <w:highlight w:val="none"/>
                <w:lang w:val="en-US" w:eastAsia="zh-CN"/>
              </w:rPr>
              <w:t>734</w:t>
            </w:r>
            <w:r>
              <w:rPr>
                <w:rFonts w:hint="eastAsia" w:ascii="微软雅黑" w:hAnsi="微软雅黑" w:eastAsia="微软雅黑" w:cs="微软雅黑"/>
                <w:sz w:val="20"/>
                <w:szCs w:val="20"/>
                <w:highlight w:val="none"/>
              </w:rPr>
              <w:t>天。实际产品期限受制于银行提前终止及产品到期条款，</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存续期</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认购起点金额</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u w:val="single"/>
                <w:lang w:val="en-US" w:eastAsia="zh-CN"/>
              </w:rPr>
            </w:pPr>
            <w:r>
              <w:rPr>
                <w:rFonts w:hint="eastAsia" w:ascii="微软雅黑" w:hAnsi="微软雅黑" w:eastAsia="微软雅黑" w:cs="微软雅黑"/>
                <w:sz w:val="20"/>
                <w:szCs w:val="20"/>
                <w:highlight w:val="none"/>
              </w:rPr>
              <w:t>认购起点金额为</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单笔认购上限</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认购期</w:t>
            </w:r>
          </w:p>
          <w:p>
            <w:pPr>
              <w:spacing w:beforeLines="0" w:afterLines="0" w:line="320" w:lineRule="exact"/>
              <w:rPr>
                <w:rFonts w:hint="eastAsia" w:ascii="微软雅黑" w:hAnsi="微软雅黑" w:eastAsia="微软雅黑" w:cs="微软雅黑"/>
                <w:b/>
                <w:sz w:val="20"/>
                <w:szCs w:val="20"/>
                <w:highlight w:val="none"/>
              </w:rPr>
            </w:pP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7</w:t>
            </w:r>
            <w:r>
              <w:rPr>
                <w:rFonts w:hint="eastAsia" w:ascii="微软雅黑" w:hAnsi="微软雅黑" w:eastAsia="微软雅黑" w:cs="微软雅黑"/>
                <w:sz w:val="20"/>
                <w:szCs w:val="20"/>
                <w:highlight w:val="none"/>
              </w:rPr>
              <w:t>日9:00至</w:t>
            </w: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12</w:t>
            </w:r>
            <w:r>
              <w:rPr>
                <w:rFonts w:hint="eastAsia" w:ascii="微软雅黑" w:hAnsi="微软雅黑" w:eastAsia="微软雅黑" w:cs="微软雅黑"/>
                <w:sz w:val="20"/>
                <w:szCs w:val="20"/>
                <w:highlight w:val="none"/>
              </w:rPr>
              <w:t>日17:00，</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银行有权提前结束认购并调整相关日期。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资金到账日</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清算期</w:t>
            </w:r>
          </w:p>
        </w:tc>
        <w:tc>
          <w:tcPr>
            <w:tcW w:w="6290"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理财产品到期日（含提前终止情形）至理财资金到账日为清算期，清算期内不计付利息。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管理人</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托管人</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b w:val="0"/>
                <w:bCs/>
                <w:sz w:val="20"/>
                <w:szCs w:val="20"/>
                <w:highlight w:val="none"/>
                <w:lang w:val="en-US" w:eastAsia="zh-CN"/>
              </w:rPr>
              <w:t>宁波</w:t>
            </w:r>
            <w:r>
              <w:rPr>
                <w:rFonts w:hint="eastAsia" w:ascii="微软雅黑" w:hAnsi="微软雅黑" w:eastAsia="微软雅黑" w:cs="微软雅黑"/>
                <w:sz w:val="20"/>
                <w:szCs w:val="20"/>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业绩比较基准</w:t>
            </w:r>
          </w:p>
        </w:tc>
        <w:tc>
          <w:tcPr>
            <w:tcW w:w="6290" w:type="dxa"/>
            <w:noWrap w:val="0"/>
            <w:vAlign w:val="top"/>
          </w:tcPr>
          <w:p>
            <w:pPr>
              <w:numPr>
                <w:ilvl w:val="-1"/>
                <w:numId w:val="0"/>
              </w:numPr>
              <w:spacing w:beforeLines="0" w:afterLines="0" w:line="320" w:lineRule="exact"/>
              <w:ind w:firstLine="0" w:firstLineChars="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管理人对本产品设定业绩比较基准：年化【</w:t>
            </w:r>
            <w:r>
              <w:rPr>
                <w:rFonts w:hint="eastAsia" w:ascii="微软雅黑" w:hAnsi="微软雅黑" w:eastAsia="微软雅黑"/>
                <w:szCs w:val="21"/>
                <w:highlight w:val="none"/>
                <w:lang w:val="en-US" w:eastAsia="zh-CN"/>
              </w:rPr>
              <w:t>2.10%,3.15%</w:t>
            </w:r>
            <w:r>
              <w:rPr>
                <w:rFonts w:hint="eastAsia" w:ascii="微软雅黑" w:hAnsi="微软雅黑" w:eastAsia="微软雅黑" w:cs="微软雅黑"/>
                <w:sz w:val="20"/>
                <w:szCs w:val="20"/>
                <w:highlight w:val="none"/>
                <w:lang w:val="en-US" w:eastAsia="zh-CN"/>
              </w:rPr>
              <w:t>】</w:t>
            </w:r>
          </w:p>
          <w:p>
            <w:pPr>
              <w:numPr>
                <w:ilvl w:val="0"/>
                <w:numId w:val="1"/>
              </w:num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业绩比较基准的说明</w:t>
            </w:r>
          </w:p>
          <w:p>
            <w:pPr>
              <w:numPr>
                <w:ilvl w:val="-1"/>
                <w:numId w:val="0"/>
              </w:num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产品为固定收益类理财产品，产品配置固定收益类资产为主。管理人基于当前对未来市场的判断，通过定量与定性相结合的办法，根据拟投资固定收益类资产收益率水平、信用利差、久期敞口以及流动性溢价等因素调整组合仓位和各类资产的投资比例，考虑杠杆和费率等因素，设定业绩比较基准。</w:t>
            </w:r>
          </w:p>
          <w:p>
            <w:pPr>
              <w:numPr>
                <w:ilvl w:val="0"/>
                <w:numId w:val="1"/>
              </w:numPr>
              <w:spacing w:beforeLines="0" w:afterLines="0" w:line="320" w:lineRule="exact"/>
              <w:ind w:firstLine="0" w:firstLineChars="0"/>
              <w:rPr>
                <w:rFonts w:hint="eastAsia" w:ascii="微软雅黑" w:hAnsi="微软雅黑" w:eastAsia="微软雅黑" w:cs="微软雅黑"/>
                <w:b w:val="0"/>
                <w:bCs w:val="0"/>
                <w:sz w:val="20"/>
                <w:szCs w:val="20"/>
                <w:highlight w:val="none"/>
                <w:lang w:val="en-US" w:eastAsia="zh-CN"/>
              </w:rPr>
            </w:pPr>
            <w:r>
              <w:rPr>
                <w:rFonts w:hint="eastAsia" w:ascii="微软雅黑" w:hAnsi="微软雅黑" w:eastAsia="微软雅黑" w:cs="微软雅黑"/>
                <w:b w:val="0"/>
                <w:bCs w:val="0"/>
                <w:sz w:val="20"/>
                <w:szCs w:val="20"/>
                <w:highlight w:val="none"/>
                <w:lang w:val="en-US" w:eastAsia="zh-CN"/>
              </w:rPr>
              <w:t>业绩比较基准的提示</w:t>
            </w:r>
          </w:p>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b w:val="0"/>
                <w:bCs w:val="0"/>
                <w:sz w:val="20"/>
                <w:szCs w:val="20"/>
                <w:highlight w:val="none"/>
              </w:rPr>
              <w:t>本业绩比较基准为管理人制定的投资目标，</w:t>
            </w:r>
            <w:r>
              <w:rPr>
                <w:rFonts w:hint="eastAsia" w:ascii="微软雅黑" w:hAnsi="微软雅黑" w:eastAsia="微软雅黑" w:cs="微软雅黑"/>
                <w:b/>
                <w:bCs/>
                <w:sz w:val="20"/>
                <w:szCs w:val="20"/>
                <w:highlight w:val="none"/>
              </w:rPr>
              <w:t>不是预期收益率，不代表本理财产品的未来表现和实际收益，不构成产品管理人对理财产品的任何收益承诺</w:t>
            </w:r>
            <w:r>
              <w:rPr>
                <w:rFonts w:hint="eastAsia" w:ascii="微软雅黑" w:hAnsi="微软雅黑" w:eastAsia="微软雅黑" w:cs="微软雅黑"/>
                <w:sz w:val="20"/>
                <w:szCs w:val="20"/>
                <w:highlight w:val="none"/>
                <w:lang w:eastAsia="zh-CN"/>
              </w:rPr>
              <w:t>，仅作为计算浮动管理费的依据</w:t>
            </w:r>
            <w:r>
              <w:rPr>
                <w:rFonts w:hint="eastAsia" w:ascii="微软雅黑" w:hAnsi="微软雅黑" w:eastAsia="微软雅黑" w:cs="微软雅黑"/>
                <w:sz w:val="20"/>
                <w:szCs w:val="20"/>
                <w:highlight w:val="none"/>
              </w:rPr>
              <w:t>。</w:t>
            </w:r>
          </w:p>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管理人有权根据市场变动及产品运作情况调整产品业绩比较基准，并至少于新业绩比较基准启用前1个工作日公布。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相关费用</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pacing w:val="4"/>
                <w:sz w:val="20"/>
                <w:szCs w:val="20"/>
              </w:rPr>
              <w:t>产品费用</w:t>
            </w:r>
            <w:r>
              <w:rPr>
                <w:rFonts w:hint="eastAsia" w:ascii="微软雅黑" w:hAnsi="微软雅黑" w:eastAsia="微软雅黑" w:cs="微软雅黑"/>
                <w:spacing w:val="4"/>
                <w:sz w:val="20"/>
                <w:szCs w:val="20"/>
                <w:lang w:val="en-US" w:eastAsia="zh-CN"/>
              </w:rPr>
              <w:t>详见本</w:t>
            </w:r>
            <w:r>
              <w:rPr>
                <w:rFonts w:hint="eastAsia" w:ascii="微软雅黑" w:hAnsi="微软雅黑" w:eastAsia="微软雅黑" w:cs="微软雅黑"/>
                <w:b w:val="0"/>
                <w:bCs w:val="0"/>
                <w:spacing w:val="4"/>
                <w:sz w:val="20"/>
                <w:szCs w:val="20"/>
                <w:lang w:eastAsia="zh-CN"/>
              </w:rPr>
              <w:t>《</w:t>
            </w:r>
            <w:r>
              <w:rPr>
                <w:rFonts w:hint="eastAsia" w:ascii="微软雅黑" w:hAnsi="微软雅黑" w:eastAsia="微软雅黑" w:cs="微软雅黑"/>
                <w:b w:val="0"/>
                <w:bCs w:val="0"/>
                <w:spacing w:val="4"/>
                <w:sz w:val="20"/>
                <w:szCs w:val="20"/>
                <w:lang w:val="en-US" w:eastAsia="zh-CN"/>
              </w:rPr>
              <w:t>产品说明书</w:t>
            </w:r>
            <w:r>
              <w:rPr>
                <w:rFonts w:hint="eastAsia" w:ascii="微软雅黑" w:hAnsi="微软雅黑" w:eastAsia="微软雅黑" w:cs="微软雅黑"/>
                <w:b w:val="0"/>
                <w:bCs w:val="0"/>
                <w:spacing w:val="4"/>
                <w:sz w:val="20"/>
                <w:szCs w:val="20"/>
                <w:lang w:eastAsia="zh-CN"/>
              </w:rPr>
              <w:t>》</w:t>
            </w:r>
            <w:r>
              <w:rPr>
                <w:rFonts w:hint="eastAsia" w:ascii="微软雅黑" w:hAnsi="微软雅黑" w:eastAsia="微软雅黑" w:cs="微软雅黑"/>
                <w:spacing w:val="4"/>
                <w:sz w:val="20"/>
                <w:szCs w:val="20"/>
                <w:lang w:val="en-US" w:eastAsia="zh-CN"/>
              </w:rPr>
              <w:t>“七、费用”约定。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rPr>
              <w:t>节假日</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rPr>
              <w:t>工作日</w:t>
            </w:r>
          </w:p>
        </w:tc>
        <w:tc>
          <w:tcPr>
            <w:tcW w:w="6290"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rPr>
              <w:t>指除中国法定节假日和公休日外的其他日期。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税款</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beforeLines="0" w:afterLines="0" w:line="320" w:lineRule="exact"/>
        <w:ind w:left="0"/>
        <w:rPr>
          <w:rFonts w:hint="eastAsia" w:ascii="微软雅黑" w:hAnsi="微软雅黑" w:eastAsia="微软雅黑" w:cs="微软雅黑"/>
          <w:b/>
          <w:sz w:val="20"/>
          <w:szCs w:val="20"/>
          <w:highlight w:val="none"/>
        </w:rPr>
      </w:pPr>
    </w:p>
    <w:p>
      <w:pPr>
        <w:adjustRightInd w:val="0"/>
        <w:snapToGrid w:val="0"/>
        <w:spacing w:beforeLines="0" w:afterLines="0" w:line="320" w:lineRule="exact"/>
        <w:ind w:left="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管理人</w:t>
      </w:r>
    </w:p>
    <w:p>
      <w:p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eastAsia="zh-CN"/>
        </w:rPr>
        <w:t>广东华润银行股份有限公司</w:t>
      </w:r>
      <w:r>
        <w:rPr>
          <w:rFonts w:hint="eastAsia" w:ascii="微软雅黑" w:hAnsi="微软雅黑" w:eastAsia="微软雅黑" w:cs="微软雅黑"/>
          <w:b w:val="0"/>
          <w:bCs/>
          <w:sz w:val="20"/>
          <w:szCs w:val="20"/>
          <w:highlight w:val="none"/>
          <w:lang w:val="en-US" w:eastAsia="zh-CN"/>
        </w:rPr>
        <w:t>作为本理财产品管理人，</w:t>
      </w:r>
      <w:r>
        <w:rPr>
          <w:rFonts w:hint="eastAsia" w:ascii="微软雅黑" w:hAnsi="微软雅黑" w:eastAsia="微软雅黑" w:cs="微软雅黑"/>
          <w:spacing w:val="7"/>
          <w:sz w:val="20"/>
          <w:szCs w:val="20"/>
          <w:lang w:val="en-US" w:eastAsia="zh-CN"/>
        </w:rPr>
        <w:t>住所是广东省珠海市香洲高新区北城东三路88号华润银行大厦，联系方式96588。</w:t>
      </w:r>
      <w:r>
        <w:rPr>
          <w:rFonts w:hint="eastAsia" w:ascii="微软雅黑" w:hAnsi="微软雅黑" w:eastAsia="微软雅黑" w:cs="微软雅黑"/>
          <w:b w:val="0"/>
          <w:bCs/>
          <w:sz w:val="20"/>
          <w:szCs w:val="20"/>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val="en-US" w:eastAsia="zh-CN"/>
        </w:rPr>
      </w:pPr>
      <w:r>
        <w:rPr>
          <w:rFonts w:hint="eastAsia" w:ascii="微软雅黑" w:hAnsi="微软雅黑" w:eastAsia="微软雅黑" w:cs="微软雅黑"/>
          <w:b w:val="0"/>
          <w:bCs/>
          <w:sz w:val="20"/>
          <w:szCs w:val="20"/>
          <w:highlight w:val="none"/>
          <w:lang w:val="en-US" w:eastAsia="zh-CN"/>
        </w:rPr>
        <w:t>1.按照</w:t>
      </w:r>
      <w:r>
        <w:rPr>
          <w:rFonts w:hint="eastAsia" w:ascii="微软雅黑" w:hAnsi="微软雅黑" w:eastAsia="微软雅黑" w:cs="微软雅黑"/>
          <w:bCs/>
          <w:sz w:val="20"/>
          <w:szCs w:val="20"/>
          <w:highlight w:val="none"/>
          <w:lang w:eastAsia="zh-CN"/>
        </w:rPr>
        <w:t>理财产品销售文件</w:t>
      </w:r>
      <w:r>
        <w:rPr>
          <w:rFonts w:hint="eastAsia" w:ascii="微软雅黑" w:hAnsi="微软雅黑" w:eastAsia="微软雅黑" w:cs="微软雅黑"/>
          <w:b w:val="0"/>
          <w:bCs/>
          <w:sz w:val="20"/>
          <w:szCs w:val="20"/>
          <w:highlight w:val="none"/>
          <w:lang w:val="en-US" w:eastAsia="zh-CN"/>
        </w:rPr>
        <w:t>的约定，管理、运用和处分理财产品资金；</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2.按照理财产品销售文件的约定，及时、足额获得投资管理费；</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3.有权根据理财产品销售文件的约定提前终止本理财产品或延长本理财产品的期限；</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5.</w:t>
      </w:r>
      <w:r>
        <w:rPr>
          <w:rFonts w:hint="eastAsia" w:ascii="微软雅黑" w:hAnsi="微软雅黑" w:eastAsia="微软雅黑" w:cs="微软雅黑"/>
          <w:b w:val="0"/>
          <w:bCs/>
          <w:sz w:val="20"/>
          <w:szCs w:val="20"/>
          <w:highlight w:val="none"/>
          <w:lang w:eastAsia="zh-CN"/>
        </w:rPr>
        <w:t>有权调整认</w:t>
      </w:r>
      <w:r>
        <w:rPr>
          <w:rFonts w:hint="eastAsia" w:ascii="微软雅黑" w:hAnsi="微软雅黑" w:eastAsia="微软雅黑" w:cs="微软雅黑"/>
          <w:b w:val="0"/>
          <w:bCs/>
          <w:sz w:val="20"/>
          <w:szCs w:val="20"/>
          <w:highlight w:val="none"/>
          <w:lang w:val="en-US" w:eastAsia="zh-CN"/>
        </w:rPr>
        <w:t>/申购资金的最低金额；</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6.有权按照法律规定和监管机构的要求将投资者的信息向有权部门或相关机构披露；</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7.</w:t>
      </w:r>
      <w:r>
        <w:rPr>
          <w:rFonts w:hint="eastAsia" w:ascii="微软雅黑" w:hAnsi="微软雅黑" w:eastAsia="微软雅黑" w:cs="微软雅黑"/>
          <w:b w:val="0"/>
          <w:bCs/>
          <w:sz w:val="20"/>
          <w:szCs w:val="20"/>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微软雅黑"/>
          <w:b w:val="0"/>
          <w:bCs/>
          <w:sz w:val="20"/>
          <w:szCs w:val="20"/>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9.在法律法规、监管政策允许的前提下调整估值日；</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10.行使法律法规、监管政策和</w:t>
      </w:r>
      <w:r>
        <w:rPr>
          <w:rFonts w:hint="eastAsia" w:ascii="微软雅黑" w:hAnsi="微软雅黑" w:eastAsia="微软雅黑" w:cs="微软雅黑"/>
          <w:bCs/>
          <w:sz w:val="20"/>
          <w:szCs w:val="20"/>
          <w:highlight w:val="none"/>
          <w:lang w:eastAsia="zh-CN"/>
        </w:rPr>
        <w:t>理财产品销售文件</w:t>
      </w:r>
      <w:r>
        <w:rPr>
          <w:rFonts w:hint="eastAsia" w:ascii="微软雅黑" w:hAnsi="微软雅黑" w:eastAsia="微软雅黑" w:cs="微软雅黑"/>
          <w:b w:val="0"/>
          <w:bCs/>
          <w:sz w:val="20"/>
          <w:szCs w:val="20"/>
          <w:highlight w:val="none"/>
          <w:lang w:val="en-US" w:eastAsia="zh-CN"/>
        </w:rPr>
        <w:t>约定的其他权利。</w:t>
      </w:r>
    </w:p>
    <w:p>
      <w:pPr>
        <w:adjustRightInd w:val="0"/>
        <w:snapToGrid w:val="0"/>
        <w:spacing w:beforeLines="0" w:afterLines="0" w:line="320" w:lineRule="exact"/>
        <w:ind w:left="0"/>
        <w:rPr>
          <w:rFonts w:hint="eastAsia" w:ascii="微软雅黑" w:hAnsi="微软雅黑" w:eastAsia="微软雅黑" w:cs="微软雅黑"/>
          <w:b/>
          <w:sz w:val="20"/>
          <w:szCs w:val="20"/>
          <w:highlight w:val="none"/>
          <w:lang w:eastAsia="zh-CN"/>
        </w:rPr>
      </w:pPr>
    </w:p>
    <w:p>
      <w:pPr>
        <w:adjustRightInd w:val="0"/>
        <w:snapToGrid w:val="0"/>
        <w:spacing w:beforeLines="0" w:afterLines="0" w:line="320" w:lineRule="exact"/>
        <w:ind w:left="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托管人</w:t>
      </w:r>
    </w:p>
    <w:p>
      <w:p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val="en-US" w:eastAsia="zh-CN"/>
        </w:rPr>
      </w:pPr>
      <w:r>
        <w:rPr>
          <w:rFonts w:hint="eastAsia" w:ascii="微软雅黑" w:hAnsi="微软雅黑" w:eastAsia="微软雅黑" w:cs="微软雅黑"/>
          <w:b w:val="0"/>
          <w:bCs/>
          <w:sz w:val="20"/>
          <w:szCs w:val="20"/>
          <w:highlight w:val="none"/>
          <w:lang w:val="en-US" w:eastAsia="zh-CN"/>
        </w:rPr>
        <w:t>宁波银行股份有限公司作为本理财产品的托管人。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托管人</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宁波</w:t>
            </w:r>
            <w:r>
              <w:rPr>
                <w:rFonts w:hint="default" w:ascii="微软雅黑" w:hAnsi="微软雅黑" w:eastAsia="微软雅黑" w:cs="微软雅黑"/>
                <w:snapToGrid w:val="0"/>
                <w:color w:val="000000"/>
                <w:spacing w:val="8"/>
                <w:kern w:val="0"/>
                <w:sz w:val="20"/>
                <w:szCs w:val="20"/>
                <w:vertAlign w:val="baseline"/>
                <w:lang w:val="en-US" w:eastAsia="zh-CN"/>
              </w:rPr>
              <w:t>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住所</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default" w:ascii="微软雅黑" w:hAnsi="微软雅黑" w:eastAsia="微软雅黑" w:cs="微软雅黑"/>
                <w:snapToGrid w:val="0"/>
                <w:color w:val="000000"/>
                <w:spacing w:val="8"/>
                <w:kern w:val="0"/>
                <w:sz w:val="20"/>
                <w:szCs w:val="20"/>
                <w:vertAlign w:val="baseline"/>
                <w:lang w:val="en-US" w:eastAsia="zh-CN"/>
              </w:rPr>
              <w:t>浙江省宁波市宁东路345号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联系方式</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95574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主要职责</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default" w:ascii="微软雅黑" w:hAnsi="微软雅黑" w:eastAsia="微软雅黑" w:cs="微软雅黑"/>
                <w:snapToGrid w:val="0"/>
                <w:color w:val="000000"/>
                <w:spacing w:val="8"/>
                <w:kern w:val="0"/>
                <w:sz w:val="20"/>
                <w:szCs w:val="20"/>
                <w:vertAlign w:val="baseline"/>
                <w:lang w:val="en-US" w:eastAsia="zh-CN"/>
              </w:rPr>
              <w:t>提供包括账户开立、资金保管、资金清算、估值核算等理财产品托管服务</w:t>
            </w:r>
            <w:r>
              <w:rPr>
                <w:rFonts w:hint="eastAsia" w:ascii="微软雅黑" w:hAnsi="微软雅黑" w:eastAsia="微软雅黑" w:cs="微软雅黑"/>
                <w:snapToGrid w:val="0"/>
                <w:color w:val="000000"/>
                <w:spacing w:val="8"/>
                <w:kern w:val="0"/>
                <w:sz w:val="20"/>
                <w:szCs w:val="20"/>
                <w:vertAlign w:val="baseline"/>
                <w:lang w:val="en-US" w:eastAsia="zh-CN"/>
              </w:rPr>
              <w:t>。</w:t>
            </w:r>
          </w:p>
        </w:tc>
      </w:tr>
    </w:tbl>
    <w:p>
      <w:pPr>
        <w:widowControl/>
        <w:kinsoku w:val="0"/>
        <w:autoSpaceDE/>
        <w:autoSpaceDN/>
        <w:adjustRightInd w:val="0"/>
        <w:snapToGrid w:val="0"/>
        <w:spacing w:before="0" w:beforeLines="0" w:afterLines="0" w:line="320" w:lineRule="exact"/>
        <w:ind w:left="0"/>
        <w:jc w:val="left"/>
        <w:textAlignment w:val="baseline"/>
        <w:rPr>
          <w:rFonts w:hint="eastAsia" w:ascii="微软雅黑" w:hAnsi="微软雅黑" w:eastAsia="微软雅黑" w:cs="微软雅黑"/>
          <w:snapToGrid w:val="0"/>
          <w:color w:val="000000"/>
          <w:spacing w:val="8"/>
          <w:kern w:val="0"/>
          <w:sz w:val="20"/>
          <w:szCs w:val="20"/>
          <w:lang w:val="en-US" w:eastAsia="zh-CN"/>
        </w:rPr>
      </w:pPr>
    </w:p>
    <w:p>
      <w:pPr>
        <w:widowControl/>
        <w:kinsoku w:val="0"/>
        <w:autoSpaceDE/>
        <w:autoSpaceDN/>
        <w:adjustRightInd w:val="0"/>
        <w:snapToGrid w:val="0"/>
        <w:spacing w:before="0" w:beforeLines="0" w:afterLines="0" w:line="320" w:lineRule="exact"/>
        <w:ind w:left="0"/>
        <w:jc w:val="left"/>
        <w:textAlignment w:val="baseline"/>
        <w:rPr>
          <w:rFonts w:hint="eastAsia" w:ascii="微软雅黑" w:hAnsi="微软雅黑" w:eastAsia="微软雅黑" w:cs="微软雅黑"/>
          <w:b/>
          <w:bCs/>
          <w:snapToGrid w:val="0"/>
          <w:color w:val="000000"/>
          <w:spacing w:val="8"/>
          <w:kern w:val="0"/>
          <w:sz w:val="20"/>
          <w:szCs w:val="20"/>
          <w:lang w:val="en-US" w:eastAsia="zh-CN"/>
        </w:rPr>
      </w:pPr>
      <w:r>
        <w:rPr>
          <w:rFonts w:hint="eastAsia" w:ascii="微软雅黑" w:hAnsi="微软雅黑" w:eastAsia="微软雅黑" w:cs="微软雅黑"/>
          <w:b/>
          <w:bCs/>
          <w:snapToGrid w:val="0"/>
          <w:color w:val="000000"/>
          <w:spacing w:val="8"/>
          <w:kern w:val="0"/>
          <w:sz w:val="20"/>
          <w:szCs w:val="20"/>
          <w:lang w:val="en-US" w:eastAsia="zh-CN"/>
        </w:rPr>
        <w:t>销售服务机构</w:t>
      </w:r>
    </w:p>
    <w:p>
      <w:pPr>
        <w:widowControl/>
        <w:kinsoku w:val="0"/>
        <w:autoSpaceDE/>
        <w:autoSpaceDN/>
        <w:adjustRightInd w:val="0"/>
        <w:snapToGrid w:val="0"/>
        <w:spacing w:before="0" w:beforeLines="0" w:afterLines="0" w:line="320" w:lineRule="exact"/>
        <w:ind w:left="0" w:firstLine="432" w:firstLineChars="200"/>
        <w:jc w:val="left"/>
        <w:textAlignment w:val="baseline"/>
        <w:rPr>
          <w:rFonts w:hint="default" w:ascii="微软雅黑" w:hAnsi="微软雅黑" w:eastAsia="微软雅黑" w:cs="微软雅黑"/>
          <w:snapToGrid w:val="0"/>
          <w:color w:val="000000"/>
          <w:spacing w:val="8"/>
          <w:kern w:val="0"/>
          <w:sz w:val="20"/>
          <w:szCs w:val="20"/>
          <w:lang w:val="en-US" w:eastAsia="zh-CN"/>
        </w:rPr>
      </w:pPr>
      <w:r>
        <w:rPr>
          <w:rFonts w:hint="eastAsia" w:ascii="微软雅黑" w:hAnsi="微软雅黑" w:eastAsia="微软雅黑" w:cs="微软雅黑"/>
          <w:snapToGrid w:val="0"/>
          <w:color w:val="000000"/>
          <w:spacing w:val="8"/>
          <w:kern w:val="0"/>
          <w:sz w:val="20"/>
          <w:szCs w:val="20"/>
          <w:lang w:val="en-US" w:eastAsia="zh-CN"/>
        </w:rPr>
        <w:t>本产品的销售服务机构为广东华润银行。</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6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销售服务机构</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广东华润</w:t>
            </w:r>
            <w:r>
              <w:rPr>
                <w:rFonts w:hint="default" w:ascii="微软雅黑" w:hAnsi="微软雅黑" w:eastAsia="微软雅黑" w:cs="微软雅黑"/>
                <w:snapToGrid w:val="0"/>
                <w:color w:val="000000"/>
                <w:spacing w:val="8"/>
                <w:kern w:val="0"/>
                <w:sz w:val="20"/>
                <w:szCs w:val="20"/>
                <w:vertAlign w:val="baseline"/>
                <w:lang w:val="en-US" w:eastAsia="zh-CN"/>
              </w:rPr>
              <w:t>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住所</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default" w:ascii="微软雅黑" w:hAnsi="微软雅黑" w:eastAsia="微软雅黑" w:cs="微软雅黑"/>
                <w:snapToGrid w:val="0"/>
                <w:color w:val="000000"/>
                <w:spacing w:val="8"/>
                <w:kern w:val="0"/>
                <w:sz w:val="20"/>
                <w:szCs w:val="20"/>
                <w:vertAlign w:val="baseline"/>
                <w:lang w:val="en-US" w:eastAsia="zh-CN"/>
              </w:rPr>
              <w:t>广东省珠海市香洲高新区北城东三路88号华润银行大厦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联系方式</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主要职责</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提供包括理财产品宣传推广、投资者风险承受能力评估和投资者适当性管理、理财产品份额认购/申购（如有）/赎回（如有）、协助管理人与投资者订立理财产品合同、协助管理人与投资者沟通及进行信息披露、接受投资者咨询和投资者维护等销售服务。</w:t>
            </w:r>
          </w:p>
        </w:tc>
      </w:tr>
    </w:tbl>
    <w:p>
      <w:pPr>
        <w:numPr>
          <w:ilvl w:val="0"/>
          <w:numId w:val="0"/>
        </w:numPr>
        <w:adjustRightInd w:val="0"/>
        <w:snapToGrid w:val="0"/>
        <w:spacing w:before="313" w:beforeLines="100" w:afterLines="0" w:line="320" w:lineRule="exact"/>
        <w:ind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val="en-US" w:eastAsia="zh-CN"/>
        </w:rPr>
        <w:t>三、</w:t>
      </w:r>
      <w:r>
        <w:rPr>
          <w:rFonts w:hint="eastAsia" w:ascii="微软雅黑" w:hAnsi="微软雅黑" w:eastAsia="微软雅黑" w:cs="微软雅黑"/>
          <w:b/>
          <w:sz w:val="20"/>
          <w:szCs w:val="20"/>
          <w:highlight w:val="none"/>
        </w:rPr>
        <w:t>投资</w:t>
      </w:r>
      <w:r>
        <w:rPr>
          <w:rFonts w:hint="eastAsia" w:ascii="微软雅黑" w:hAnsi="微软雅黑" w:eastAsia="微软雅黑" w:cs="微软雅黑"/>
          <w:b/>
          <w:sz w:val="20"/>
          <w:szCs w:val="20"/>
          <w:highlight w:val="none"/>
          <w:lang w:eastAsia="zh-CN"/>
        </w:rPr>
        <w:t>运作</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（一）投资范围</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本理财产品直接或间接投资于符合监管要求的以下金融资产和金融工具，包括但不限于：</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股权收益权转让及受让等非标准化债权资产；以及监管部门认可的其他金融投资工具。</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他资产：包含权益类资产、商品及金融衍生品类资产等。权益类资产：公募股票型基金、ETF、ETF联接基金、公募REITs、投资于权益类资产的资产管理产品，以及符合监管要求的其他权益类资产。商品及金融衍生品类资产：股指期货、国债期货、商品期货、利率互换、收益互换、交易所上市期权等。</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如</w:t>
      </w:r>
      <w:r>
        <w:rPr>
          <w:rFonts w:hint="eastAsia" w:ascii="微软雅黑" w:hAnsi="微软雅黑" w:eastAsia="微软雅黑" w:cs="微软雅黑"/>
          <w:sz w:val="20"/>
          <w:szCs w:val="20"/>
          <w:highlight w:val="none"/>
          <w:lang w:val="en-US" w:eastAsia="zh-CN"/>
        </w:rPr>
        <w:t>日后</w:t>
      </w:r>
      <w:r>
        <w:rPr>
          <w:rFonts w:hint="eastAsia" w:ascii="微软雅黑" w:hAnsi="微软雅黑" w:eastAsia="微软雅黑" w:cs="微软雅黑"/>
          <w:sz w:val="20"/>
          <w:szCs w:val="20"/>
          <w:highlight w:val="none"/>
        </w:rPr>
        <w:t>法律法规或监管机构允许投资其他金融资产和金融工具品种，管理人在履行</w:t>
      </w:r>
      <w:r>
        <w:rPr>
          <w:rFonts w:hint="eastAsia" w:ascii="微软雅黑" w:hAnsi="微软雅黑" w:eastAsia="微软雅黑" w:cs="微软雅黑"/>
          <w:sz w:val="20"/>
          <w:szCs w:val="20"/>
          <w:highlight w:val="none"/>
          <w:lang w:val="en-US" w:eastAsia="zh-CN"/>
        </w:rPr>
        <w:t>本产品说明书之</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信息披露”约定的方式进行信息披露</w:t>
      </w:r>
      <w:r>
        <w:rPr>
          <w:rFonts w:hint="eastAsia" w:ascii="微软雅黑" w:hAnsi="微软雅黑" w:eastAsia="微软雅黑" w:cs="微软雅黑"/>
          <w:sz w:val="20"/>
          <w:szCs w:val="20"/>
          <w:highlight w:val="none"/>
        </w:rPr>
        <w:t>后，可以将其纳入投资范围。</w:t>
      </w:r>
    </w:p>
    <w:p>
      <w:pPr>
        <w:adjustRightInd w:val="0"/>
        <w:snapToGrid w:val="0"/>
        <w:spacing w:beforeLines="0" w:afterLines="0" w:line="320" w:lineRule="exact"/>
        <w:ind w:left="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beforeLines="0" w:afterLines="0" w:line="320" w:lineRule="exact"/>
              <w:ind w:left="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资产种类</w:t>
            </w:r>
          </w:p>
        </w:tc>
        <w:tc>
          <w:tcPr>
            <w:tcW w:w="2651" w:type="dxa"/>
            <w:noWrap w:val="0"/>
            <w:vAlign w:val="top"/>
          </w:tcPr>
          <w:p>
            <w:pPr>
              <w:adjustRightInd w:val="0"/>
              <w:snapToGrid w:val="0"/>
              <w:spacing w:beforeLines="0" w:afterLines="0" w:line="320" w:lineRule="exact"/>
              <w:ind w:left="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固定收益类资产</w:t>
            </w:r>
          </w:p>
        </w:tc>
        <w:tc>
          <w:tcPr>
            <w:tcW w:w="2651"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其他资产</w:t>
            </w:r>
          </w:p>
        </w:tc>
        <w:tc>
          <w:tcPr>
            <w:tcW w:w="2651"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0-20%</w:t>
            </w:r>
          </w:p>
        </w:tc>
      </w:tr>
    </w:tbl>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在理财产品存续期内可能因市场的重大变化导致投资比例不在上述区间，</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银行将尽合理努力，以客户利益最大化为原则，在15个工作日内调整投资比例至上述区间。</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银行有权根据市场情况，在不损害客户利益且根据约定提前公告的情况下，对本理财产品的投资范围、投资资产种类和投资比例进行调整。</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w:t>
      </w:r>
      <w:r>
        <w:rPr>
          <w:rFonts w:hint="eastAsia" w:ascii="微软雅黑" w:hAnsi="微软雅黑" w:eastAsia="微软雅黑" w:cs="微软雅黑"/>
          <w:b/>
          <w:sz w:val="20"/>
          <w:szCs w:val="20"/>
          <w:highlight w:val="none"/>
          <w:lang w:val="en-US" w:eastAsia="zh-CN"/>
        </w:rPr>
        <w:t>二</w:t>
      </w:r>
      <w:r>
        <w:rPr>
          <w:rFonts w:hint="eastAsia" w:ascii="微软雅黑" w:hAnsi="微软雅黑" w:eastAsia="微软雅黑" w:cs="微软雅黑"/>
          <w:b/>
          <w:sz w:val="20"/>
          <w:szCs w:val="20"/>
          <w:highlight w:val="none"/>
          <w:lang w:eastAsia="zh-CN"/>
        </w:rPr>
        <w:t>）投资策略</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adjustRightInd w:val="0"/>
        <w:snapToGrid w:val="0"/>
        <w:spacing w:before="313" w:beforeLines="10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四</w:t>
      </w:r>
      <w:r>
        <w:rPr>
          <w:rFonts w:hint="eastAsia" w:ascii="微软雅黑" w:hAnsi="微软雅黑" w:eastAsia="微软雅黑" w:cs="微软雅黑"/>
          <w:b/>
          <w:sz w:val="20"/>
          <w:szCs w:val="20"/>
          <w:highlight w:val="none"/>
        </w:rPr>
        <w:t>、理财产品净值及份额的计算</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理财产品资产净值=理财产品总资产-总负债。</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理财产品份额净值=理财产品资产净值/理财产品存续份额，理财产品份额净值保留至小数点后8位（保留8位小数，8位小数点后四舍五入）。</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认购份额=认购金额/1元，认购份额保留至小数点后2位（保留2位小数，2位小数点后四舍五入）。</w:t>
      </w:r>
    </w:p>
    <w:p>
      <w:pPr>
        <w:adjustRightInd w:val="0"/>
        <w:snapToGrid w:val="0"/>
        <w:spacing w:before="313" w:beforeLines="10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五</w:t>
      </w:r>
      <w:r>
        <w:rPr>
          <w:rFonts w:hint="eastAsia" w:ascii="微软雅黑" w:hAnsi="微软雅黑" w:eastAsia="微软雅黑" w:cs="微软雅黑"/>
          <w:b/>
          <w:sz w:val="20"/>
          <w:szCs w:val="20"/>
          <w:highlight w:val="none"/>
        </w:rPr>
        <w:t>、理财产品认购及成立</w:t>
      </w:r>
    </w:p>
    <w:p>
      <w:p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（一）产品认购</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1.产品登记日：本理财产品于</w:t>
      </w: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13</w:t>
      </w:r>
      <w:r>
        <w:rPr>
          <w:rFonts w:hint="eastAsia" w:ascii="微软雅黑" w:hAnsi="微软雅黑" w:eastAsia="微软雅黑" w:cs="微软雅黑"/>
          <w:sz w:val="20"/>
          <w:szCs w:val="20"/>
          <w:highlight w:val="none"/>
        </w:rPr>
        <w:t>日进行认购登记。</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2.认购方式及确认：</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（1）本理财产品采取金额认购的方式；</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银行受理认购申请并不表示对该申请成功的确认，而仅代表</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银行收到了认购申请，申请是否有效以</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银行的确认为准。</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银行在产品登记日为客户登记认购份额，客户应在产品成立后及时查询最终成交确认情况和认购的份额；</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（3）认购撤单：认购期内允许全部或者部分撤销已递交的认购申请，部分撤销只适用于客户多次认购的情况，客户必须对应每笔认购的份额逐笔撤销，部分撤销后剩余的各笔认购份额总和不得低于</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rPr>
        <w:t>万份；</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（4）客户在认购期内认购成功后资金将被冻结，但仍按照</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银行公布的活期存款利率为认购资金计息，认购期内利息不计入认购本金。如认购不成功，被冻结的理财资金在产品原定认购期结束后的3个工作日内解冻；如认购成功，被冻结的理财资金划转至产品募集账户。</w:t>
      </w:r>
    </w:p>
    <w:p>
      <w:pPr>
        <w:adjustRightInd w:val="0"/>
        <w:snapToGrid w:val="0"/>
        <w:spacing w:before="0" w:beforeLines="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（二）产品成立</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在认购期内，未发生影响产品正常成立的任何异常事件，产品正常成立。</w:t>
      </w:r>
    </w:p>
    <w:p>
      <w:pPr>
        <w:spacing w:beforeLines="0" w:afterLines="0" w:line="320" w:lineRule="exact"/>
        <w:ind w:firstLine="42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银行有权提前结束认购并提前成立，产品提前成立时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银行将发布公告并调整相关日期，产品最终发行量以实际募集金额为准。</w:t>
      </w:r>
    </w:p>
    <w:p>
      <w:pPr>
        <w:spacing w:beforeLines="0" w:afterLines="0" w:line="320" w:lineRule="exact"/>
        <w:ind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如果市场发生不利情况，</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银行有权宣布本产品不成立。客户被冻结的认购资金在产品原定成立日后的3个工作日内解冻。</w:t>
      </w:r>
    </w:p>
    <w:p>
      <w:pPr>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六</w:t>
      </w:r>
      <w:r>
        <w:rPr>
          <w:rFonts w:hint="eastAsia" w:ascii="微软雅黑" w:hAnsi="微软雅黑" w:eastAsia="微软雅黑" w:cs="微软雅黑"/>
          <w:b/>
          <w:sz w:val="20"/>
          <w:szCs w:val="20"/>
          <w:highlight w:val="none"/>
        </w:rPr>
        <w:t>、理财产品到期及提前终止</w:t>
      </w:r>
    </w:p>
    <w:p>
      <w:pPr>
        <w:adjustRightInd w:val="0"/>
        <w:snapToGrid w:val="0"/>
        <w:spacing w:before="0" w:beforeLines="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（一）产品到期</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1.本理财产品到期日为</w:t>
      </w:r>
      <w:r>
        <w:rPr>
          <w:rFonts w:hint="eastAsia" w:ascii="微软雅黑" w:hAnsi="微软雅黑" w:eastAsia="微软雅黑" w:cs="微软雅黑"/>
          <w:sz w:val="20"/>
          <w:szCs w:val="20"/>
          <w:highlight w:val="none"/>
          <w:lang w:val="en-US" w:eastAsia="zh-CN"/>
        </w:rPr>
        <w:t>2028</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16日</w:t>
      </w:r>
      <w:r>
        <w:rPr>
          <w:rFonts w:hint="eastAsia" w:ascii="微软雅黑" w:hAnsi="微软雅黑" w:eastAsia="微软雅黑" w:cs="微软雅黑"/>
          <w:sz w:val="20"/>
          <w:szCs w:val="20"/>
          <w:highlight w:val="none"/>
        </w:rPr>
        <w:t>（以实际到期日为准），</w:t>
      </w:r>
      <w:r>
        <w:rPr>
          <w:rFonts w:hint="eastAsia" w:ascii="微软雅黑" w:hAnsi="微软雅黑" w:eastAsia="微软雅黑" w:cs="微软雅黑"/>
          <w:sz w:val="20"/>
          <w:szCs w:val="20"/>
          <w:highlight w:val="none"/>
          <w:lang w:val="en-US" w:eastAsia="zh-CN"/>
        </w:rPr>
        <w:t>如有调整将至少提前2个工作日根据约定方式进行信息披露</w:t>
      </w:r>
      <w:r>
        <w:rPr>
          <w:rFonts w:hint="eastAsia" w:ascii="微软雅黑" w:hAnsi="微软雅黑" w:eastAsia="微软雅黑" w:cs="微软雅黑"/>
          <w:sz w:val="20"/>
          <w:szCs w:val="20"/>
          <w:highlight w:val="none"/>
        </w:rPr>
        <w:t>。</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2.客户持有本理财产品到期时，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银行不承诺保证本金，客户在到期日的应得资金随投资盈亏水平浮动。</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3.理财产品到期时，如理财产品项下财产全部变现，</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银行在产品到期日后3个工作日内将客户应得资金划转至客户指定账户。</w:t>
      </w:r>
      <w:r>
        <w:rPr>
          <w:rFonts w:hint="eastAsia" w:ascii="微软雅黑" w:hAnsi="微软雅黑" w:eastAsia="微软雅黑" w:cs="微软雅黑"/>
          <w:sz w:val="20"/>
          <w:szCs w:val="20"/>
          <w:highlight w:val="none"/>
          <w:lang w:eastAsia="zh-CN"/>
        </w:rPr>
        <w:t>清算期超过</w:t>
      </w:r>
      <w:r>
        <w:rPr>
          <w:rFonts w:hint="eastAsia" w:ascii="微软雅黑" w:hAnsi="微软雅黑" w:eastAsia="微软雅黑" w:cs="微软雅黑"/>
          <w:sz w:val="20"/>
          <w:szCs w:val="20"/>
          <w:highlight w:val="none"/>
          <w:lang w:val="en-US" w:eastAsia="zh-CN"/>
        </w:rPr>
        <w:t>3个工作日的，管理人将提前2个工作日根据约定方式进行信息披露。</w:t>
      </w:r>
      <w:r>
        <w:rPr>
          <w:rFonts w:hint="eastAsia" w:ascii="微软雅黑" w:hAnsi="微软雅黑" w:eastAsia="微软雅黑" w:cs="微软雅黑"/>
          <w:sz w:val="20"/>
          <w:szCs w:val="20"/>
          <w:highlight w:val="none"/>
        </w:rPr>
        <w:t>理财产品到期时，如产品项下部分或全部资产因客观原因暂停交易或暂时无法变现，</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可将可供分配的现金资产按照理财产品投资的认购金额比例进行分配，将暂时无法变现的其他投资组合资产恢复交易或通过其他途径变现后，管理人再就该部分资产进行分配。本理财产品的到期日及投资者持有的产品期限将相应延长，具体请以</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银行公告为准。延长期内不计收益，延期清算期间不计付利息。</w:t>
      </w:r>
    </w:p>
    <w:p>
      <w:pPr>
        <w:adjustRightInd w:val="0"/>
        <w:snapToGrid w:val="0"/>
        <w:spacing w:before="0" w:beforeLines="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（二）提前终止</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本理财产品成立后，如出现但不限于如下情形，</w:t>
      </w:r>
      <w:r>
        <w:rPr>
          <w:rFonts w:hint="eastAsia" w:ascii="微软雅黑" w:hAnsi="微软雅黑" w:eastAsia="微软雅黑" w:cs="微软雅黑"/>
          <w:b/>
          <w:bCs/>
          <w:sz w:val="20"/>
          <w:szCs w:val="20"/>
          <w:highlight w:val="none"/>
          <w:lang w:eastAsia="zh-CN"/>
        </w:rPr>
        <w:t>广东华润</w:t>
      </w:r>
      <w:r>
        <w:rPr>
          <w:rFonts w:hint="eastAsia" w:ascii="微软雅黑" w:hAnsi="微软雅黑" w:eastAsia="微软雅黑" w:cs="微软雅黑"/>
          <w:b/>
          <w:bCs/>
          <w:sz w:val="20"/>
          <w:szCs w:val="20"/>
          <w:highlight w:val="none"/>
        </w:rPr>
        <w:t>银行在提前</w:t>
      </w:r>
      <w:r>
        <w:rPr>
          <w:rFonts w:hint="eastAsia" w:ascii="微软雅黑" w:hAnsi="微软雅黑" w:eastAsia="微软雅黑" w:cs="微软雅黑"/>
          <w:b/>
          <w:bCs/>
          <w:sz w:val="20"/>
          <w:szCs w:val="20"/>
          <w:highlight w:val="none"/>
          <w:lang w:val="en-US" w:eastAsia="zh-CN"/>
        </w:rPr>
        <w:t>3个工作日</w:t>
      </w:r>
      <w:r>
        <w:rPr>
          <w:rFonts w:hint="eastAsia" w:ascii="微软雅黑" w:hAnsi="微软雅黑" w:eastAsia="微软雅黑" w:cs="微软雅黑"/>
          <w:b/>
          <w:bCs/>
          <w:sz w:val="20"/>
          <w:szCs w:val="20"/>
          <w:highlight w:val="none"/>
        </w:rPr>
        <w:t>公告的情况下，有权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8"/>
        <w:spacing w:beforeLines="0" w:afterLines="0" w:line="320" w:lineRule="exact"/>
        <w:ind w:left="0"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1.因不可抗力因素导致本理财产品无法继续运作；</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2遇有市场剧烈波动、异常风险事件等情形导致理财产品净值出现大幅波动或严重影响理财产品的资产安全；</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3.因相关投资管理机构解散、破产、撤销、被取消业务资格等原因无法继续履行相应职责导致产品无法继续运作；</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4.因法律法规变化或国家金融政策调整、紧急措施出台影响产品继续正常运作；</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5.因理财产品投资的资产提前到期或部分提前到期，进而影响到产品收益，为最大限度保护投资者利益，</w:t>
      </w:r>
      <w:r>
        <w:rPr>
          <w:rFonts w:hint="eastAsia" w:ascii="微软雅黑" w:hAnsi="微软雅黑" w:eastAsia="微软雅黑" w:cs="微软雅黑"/>
          <w:b/>
          <w:bCs/>
          <w:sz w:val="20"/>
          <w:szCs w:val="20"/>
          <w:highlight w:val="none"/>
          <w:lang w:eastAsia="zh-CN"/>
        </w:rPr>
        <w:t>广东华润</w:t>
      </w:r>
      <w:r>
        <w:rPr>
          <w:rFonts w:hint="eastAsia" w:ascii="微软雅黑" w:hAnsi="微软雅黑" w:eastAsia="微软雅黑" w:cs="微软雅黑"/>
          <w:b/>
          <w:bCs/>
          <w:sz w:val="20"/>
          <w:szCs w:val="20"/>
          <w:highlight w:val="none"/>
        </w:rPr>
        <w:t>银行经合理判断提前全部终止或提前部分终止的情形；</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6.法律法规规定或监管部门认定的其他情形。</w:t>
      </w:r>
    </w:p>
    <w:p>
      <w:pPr>
        <w:numPr>
          <w:ilvl w:val="-1"/>
          <w:numId w:val="0"/>
        </w:numPr>
        <w:autoSpaceDE/>
        <w:autoSpaceDN/>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lang w:val="en-US" w:eastAsia="zh-CN"/>
        </w:rPr>
      </w:pPr>
      <w:r>
        <w:rPr>
          <w:rFonts w:hint="eastAsia" w:ascii="微软雅黑" w:hAnsi="微软雅黑" w:eastAsia="微软雅黑" w:cs="微软雅黑"/>
          <w:b/>
          <w:sz w:val="20"/>
          <w:szCs w:val="20"/>
          <w:highlight w:val="none"/>
          <w:lang w:val="en-US" w:eastAsia="zh-CN"/>
        </w:rPr>
        <w:t>七、费用</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pacing w:val="0"/>
          <w:sz w:val="20"/>
          <w:szCs w:val="20"/>
          <w:highlight w:val="none"/>
          <w:lang w:val="en-US" w:eastAsia="zh-CN"/>
        </w:rPr>
        <w:t>本理财产品收取费用包括固定管理费、销售手续费、托管费、运营服务费、浮动管理费（若有）、其他费用等相关费用。</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（一）固定管理费。收取的固定管理费率（年化）为0.10%。每日计算公式为：当日产品存续份额×固定管理费率÷365，小数点后两位四舍五入。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（二）销售手续费。收取的销售手续费率（年化）为0.25%。每日计算公式为：当日产品存续份额×销售手续费率÷365，小数点后两位四舍五入。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（三）托管费。收取的托管费率（年化）为0.008%。每日计算公式为：当日产品存续份额×托管费率÷365，小数点后两位四舍五入。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（四）运营服务费。收取的运营服务费率（年化）为0.005%。每日计算公式为：当日产品存续份额×销售手续费率÷365，小数点后两位四舍五入。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（五）浮动管理费。投资者持有的产品份额赎回/到期/终止时，产品份额持有期间的年化收益率超过2.85%时，则超过部分管理人计提8</w:t>
      </w:r>
      <w:bookmarkStart w:id="1" w:name="_GoBack"/>
      <w:bookmarkEnd w:id="1"/>
      <w:r>
        <w:rPr>
          <w:rFonts w:hint="eastAsia" w:ascii="微软雅黑" w:hAnsi="微软雅黑" w:eastAsia="微软雅黑" w:cs="微软雅黑"/>
          <w:b/>
          <w:bCs/>
          <w:sz w:val="20"/>
          <w:szCs w:val="20"/>
          <w:highlight w:val="none"/>
          <w:lang w:val="en-US" w:eastAsia="zh-CN"/>
        </w:rPr>
        <w:t>0%作为浮动投资管理费（若本产品投资收益率低于2.85%（含），管理人不收取浮动投资管理费）。投资者持有的产品份额赎回/到期/终止时，产品份额持有期间的年化收益率未达到业绩比较基准下限时，管理人有权选择是否启用回拨机制，即以已计提的固定管理费和销售手续费为上限对投资者进行回拨，回拨后产品份额持有期间的年化收益率不超过业绩比较基准下限。</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（六）手续费。本理财产品认购手续费、申购手续费、赎回手续费均为0.00%。</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七）其他费用。1.投资账户开立及维护费、交易手续费、资金汇划费、清算费等；2.产品成立后与产品相关的会计师费、审计费、诉讼（仲裁）费、律师费、信息披露费、公证费、执行费用等；3.增值税及附加税费等；4.其他按照国家有关规定可以列入的费用。</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（八）费用按本《产品说明书》及管理人与费用收取方之间的协议约定从理财产品资产中支付。</w:t>
      </w:r>
    </w:p>
    <w:p>
      <w:pPr>
        <w:numPr>
          <w:ilvl w:val="0"/>
          <w:numId w:val="0"/>
        </w:numPr>
        <w:adjustRightInd/>
        <w:snapToGrid/>
        <w:spacing w:before="313" w:beforeLines="100" w:after="0" w:afterLines="0" w:line="320" w:lineRule="exact"/>
        <w:ind w:left="0" w:firstLine="400" w:firstLineChars="200"/>
        <w:jc w:val="left"/>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八</w:t>
      </w:r>
      <w:r>
        <w:rPr>
          <w:rFonts w:hint="eastAsia" w:ascii="微软雅黑" w:hAnsi="微软雅黑" w:eastAsia="微软雅黑" w:cs="微软雅黑"/>
          <w:b/>
          <w:sz w:val="20"/>
          <w:szCs w:val="20"/>
          <w:highlight w:val="none"/>
        </w:rPr>
        <w:t>、理财产品收益测算</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1.收益测算依据</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投资者实际收益=投资者应得资金-投资者认购/申购金额+投资者分红收益（若有）</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其中，投资者应得资金=投资者持有产品份额×</w:t>
      </w:r>
      <w:r>
        <w:rPr>
          <w:rFonts w:hint="eastAsia" w:ascii="微软雅黑" w:hAnsi="微软雅黑" w:eastAsia="微软雅黑" w:cs="微软雅黑"/>
          <w:sz w:val="20"/>
          <w:szCs w:val="20"/>
          <w:highlight w:val="none"/>
          <w:lang w:val="en-US" w:eastAsia="zh-CN"/>
        </w:rPr>
        <w:t>到期日前一自然日产品净值</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eastAsia="zh-CN"/>
        </w:rPr>
        <w:t>浮动管理费</w:t>
      </w:r>
      <w:r>
        <w:rPr>
          <w:rFonts w:hint="eastAsia" w:ascii="微软雅黑" w:hAnsi="微软雅黑" w:eastAsia="微软雅黑" w:cs="微软雅黑"/>
          <w:sz w:val="20"/>
          <w:szCs w:val="20"/>
          <w:highlight w:val="none"/>
        </w:rPr>
        <w:t>（若有）-税费（若有）</w:t>
      </w:r>
    </w:p>
    <w:p>
      <w:pPr>
        <w:spacing w:before="0" w:beforeLines="0" w:afterLines="0" w:line="320" w:lineRule="exact"/>
        <w:ind w:left="0" w:right="0" w:firstLine="418"/>
        <w:rPr>
          <w:rFonts w:hint="default" w:ascii="微软雅黑" w:hAnsi="微软雅黑" w:eastAsia="微软雅黑" w:cs="微软雅黑"/>
          <w:spacing w:val="6"/>
          <w:sz w:val="20"/>
          <w:szCs w:val="20"/>
          <w:lang w:val="en-US" w:eastAsia="zh-CN"/>
        </w:rPr>
      </w:pPr>
      <w:r>
        <w:rPr>
          <w:rFonts w:hint="eastAsia" w:ascii="微软雅黑" w:hAnsi="微软雅黑" w:eastAsia="微软雅黑" w:cs="微软雅黑"/>
          <w:spacing w:val="6"/>
          <w:sz w:val="20"/>
          <w:szCs w:val="20"/>
          <w:lang w:val="en-US" w:eastAsia="zh-CN"/>
        </w:rPr>
        <w:t>2.情景分析</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假设本理财产品期限360天，业绩比较基准</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4.0%，4.5</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。产品到期后，客户可获得总收益可能存在如下情景：</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情景一：扣除产品各项费用（包括不限于托管费、运营服务费、销售手续费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超过业绩比较基准。</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假设客户投资5万元，购买时产品净值为1.00000000元，份额</w:t>
      </w:r>
      <w:r>
        <w:rPr>
          <w:rFonts w:hint="eastAsia" w:ascii="微软雅黑" w:hAnsi="微软雅黑" w:eastAsia="微软雅黑" w:cs="微软雅黑"/>
          <w:sz w:val="20"/>
          <w:szCs w:val="20"/>
          <w:highlight w:val="none"/>
          <w:lang w:eastAsia="zh-CN"/>
        </w:rPr>
        <w:t>确认</w:t>
      </w:r>
      <w:r>
        <w:rPr>
          <w:rFonts w:hint="eastAsia" w:ascii="微软雅黑" w:hAnsi="微软雅黑" w:eastAsia="微软雅黑" w:cs="微软雅黑"/>
          <w:sz w:val="20"/>
          <w:szCs w:val="20"/>
          <w:highlight w:val="none"/>
        </w:rPr>
        <w:t>50,000.00份。产品到期时，若客户持有的份额依然为50,000.00份（即存续期中未发生提前终止或其他情形），扣除产品各项费用（包括不限于托管费、运营服务费、销售手续费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）后，如产品净值为1.0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此时，(1.0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0000/1.00000000-1)×365/360=</w:t>
      </w:r>
      <w:r>
        <w:rPr>
          <w:rFonts w:hint="eastAsia" w:ascii="微软雅黑" w:hAnsi="微软雅黑" w:eastAsia="微软雅黑" w:cs="微软雅黑"/>
          <w:sz w:val="20"/>
          <w:szCs w:val="20"/>
          <w:highlight w:val="none"/>
          <w:lang w:val="en-US" w:eastAsia="zh-CN"/>
        </w:rPr>
        <w:t>4.56</w:t>
      </w:r>
      <w:r>
        <w:rPr>
          <w:rFonts w:hint="eastAsia" w:ascii="微软雅黑" w:hAnsi="微软雅黑" w:eastAsia="微软雅黑" w:cs="微软雅黑"/>
          <w:sz w:val="20"/>
          <w:szCs w:val="20"/>
          <w:highlight w:val="none"/>
        </w:rPr>
        <w:t>%&gt;</w:t>
      </w:r>
      <w:r>
        <w:rPr>
          <w:rFonts w:hint="eastAsia" w:ascii="微软雅黑" w:hAnsi="微软雅黑" w:eastAsia="微软雅黑" w:cs="微软雅黑"/>
          <w:sz w:val="20"/>
          <w:szCs w:val="20"/>
          <w:highlight w:val="none"/>
          <w:lang w:val="en-US" w:eastAsia="zh-CN"/>
        </w:rPr>
        <w:t>4.5</w:t>
      </w:r>
      <w:r>
        <w:rPr>
          <w:rFonts w:hint="eastAsia" w:ascii="微软雅黑" w:hAnsi="微软雅黑" w:eastAsia="微软雅黑" w:cs="微软雅黑"/>
          <w:sz w:val="20"/>
          <w:szCs w:val="20"/>
          <w:highlight w:val="none"/>
        </w:rPr>
        <w:t>%，即投资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超过业绩比较基准</w:t>
      </w:r>
      <w:r>
        <w:rPr>
          <w:rFonts w:hint="eastAsia" w:ascii="微软雅黑" w:hAnsi="微软雅黑" w:eastAsia="微软雅黑" w:cs="微软雅黑"/>
          <w:sz w:val="20"/>
          <w:szCs w:val="20"/>
          <w:highlight w:val="none"/>
          <w:lang w:eastAsia="zh-CN"/>
        </w:rPr>
        <w:t>上限</w:t>
      </w:r>
      <w:r>
        <w:rPr>
          <w:rFonts w:hint="eastAsia" w:ascii="微软雅黑" w:hAnsi="微软雅黑" w:eastAsia="微软雅黑" w:cs="微软雅黑"/>
          <w:sz w:val="20"/>
          <w:szCs w:val="20"/>
          <w:highlight w:val="none"/>
        </w:rPr>
        <w:t>。假设超过的部分作为管理人的</w:t>
      </w:r>
      <w:r>
        <w:rPr>
          <w:rFonts w:hint="eastAsia" w:ascii="微软雅黑" w:hAnsi="微软雅黑" w:eastAsia="微软雅黑" w:cs="微软雅黑"/>
          <w:sz w:val="20"/>
          <w:szCs w:val="20"/>
          <w:highlight w:val="none"/>
          <w:lang w:eastAsia="zh-CN"/>
        </w:rPr>
        <w:t>浮动管理费，</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管理人收取的浮动管理费：</w:t>
      </w:r>
      <w:r>
        <w:rPr>
          <w:rFonts w:hint="eastAsia" w:ascii="微软雅黑" w:hAnsi="微软雅黑" w:eastAsia="微软雅黑" w:cs="微软雅黑"/>
          <w:sz w:val="20"/>
          <w:szCs w:val="20"/>
          <w:highlight w:val="none"/>
        </w:rPr>
        <w:t>50,000.00×[1.0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0000-1.00000000×(1+</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0%×360/365)]=</w:t>
      </w:r>
      <w:r>
        <w:rPr>
          <w:rFonts w:hint="eastAsia" w:ascii="微软雅黑" w:hAnsi="微软雅黑" w:eastAsia="微软雅黑" w:cs="微软雅黑"/>
          <w:sz w:val="20"/>
          <w:szCs w:val="20"/>
          <w:highlight w:val="none"/>
          <w:lang w:val="en-US" w:eastAsia="zh-CN"/>
        </w:rPr>
        <w:t>30.82</w:t>
      </w:r>
      <w:r>
        <w:rPr>
          <w:rFonts w:hint="eastAsia" w:ascii="微软雅黑" w:hAnsi="微软雅黑" w:eastAsia="微软雅黑" w:cs="微软雅黑"/>
          <w:sz w:val="20"/>
          <w:szCs w:val="20"/>
          <w:highlight w:val="none"/>
        </w:rPr>
        <w:t>（元）</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投资者实际投资收益</w:t>
      </w:r>
      <w:r>
        <w:rPr>
          <w:rFonts w:hint="eastAsia" w:ascii="微软雅黑" w:hAnsi="微软雅黑" w:eastAsia="微软雅黑" w:cs="微软雅黑"/>
          <w:sz w:val="20"/>
          <w:szCs w:val="20"/>
          <w:highlight w:val="none"/>
        </w:rPr>
        <w:t>：50,000.00×</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rPr>
        <w:t>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w:t>
      </w:r>
      <w:r>
        <w:rPr>
          <w:rFonts w:hint="eastAsia" w:ascii="微软雅黑" w:hAnsi="微软雅黑" w:eastAsia="微软雅黑" w:cs="微软雅黑"/>
          <w:sz w:val="20"/>
          <w:szCs w:val="20"/>
          <w:highlight w:val="none"/>
          <w:lang w:val="en-US" w:eastAsia="zh-CN"/>
        </w:rPr>
        <w:t>-1.00000000)</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30.82</w:t>
      </w:r>
      <w:r>
        <w:rPr>
          <w:rFonts w:hint="eastAsia" w:ascii="微软雅黑" w:hAnsi="微软雅黑" w:eastAsia="微软雅黑" w:cs="微软雅黑"/>
          <w:sz w:val="20"/>
          <w:szCs w:val="20"/>
          <w:highlight w:val="none"/>
        </w:rPr>
        <w:t>=2,219.18（元）。</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情景二：扣除产品各项费用（包括不限于托管费、运营服务费、销售手续费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未达到业绩比较基准</w:t>
      </w:r>
      <w:r>
        <w:rPr>
          <w:rFonts w:hint="eastAsia" w:ascii="微软雅黑" w:hAnsi="微软雅黑" w:eastAsia="微软雅黑" w:cs="微软雅黑"/>
          <w:sz w:val="20"/>
          <w:szCs w:val="20"/>
          <w:highlight w:val="none"/>
          <w:lang w:eastAsia="zh-CN"/>
        </w:rPr>
        <w:t>上限。</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假设客户投资5万元，购买时产品净值为1.00000000元，折算份额为50,000.00份。产品到期时，若客户持有的份额依然为50,000.00份（即存续期中未发生提前终止或其他情形），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）后，如产品净值为1.0</w:t>
      </w:r>
      <w:r>
        <w:rPr>
          <w:rFonts w:hint="eastAsia" w:ascii="微软雅黑" w:hAnsi="微软雅黑" w:eastAsia="微软雅黑" w:cs="微软雅黑"/>
          <w:sz w:val="20"/>
          <w:szCs w:val="20"/>
          <w:highlight w:val="none"/>
          <w:lang w:val="en-US" w:eastAsia="zh-CN"/>
        </w:rPr>
        <w:t>410</w:t>
      </w:r>
      <w:r>
        <w:rPr>
          <w:rFonts w:hint="eastAsia" w:ascii="微软雅黑" w:hAnsi="微软雅黑" w:eastAsia="微软雅黑" w:cs="微软雅黑"/>
          <w:sz w:val="20"/>
          <w:szCs w:val="20"/>
          <w:highlight w:val="none"/>
        </w:rPr>
        <w:t>0000，</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此时，(1.0</w:t>
      </w:r>
      <w:r>
        <w:rPr>
          <w:rFonts w:hint="eastAsia" w:ascii="微软雅黑" w:hAnsi="微软雅黑" w:eastAsia="微软雅黑" w:cs="微软雅黑"/>
          <w:sz w:val="20"/>
          <w:szCs w:val="20"/>
          <w:highlight w:val="none"/>
          <w:lang w:val="en-US" w:eastAsia="zh-CN"/>
        </w:rPr>
        <w:t>410</w:t>
      </w:r>
      <w:r>
        <w:rPr>
          <w:rFonts w:hint="eastAsia" w:ascii="微软雅黑" w:hAnsi="微软雅黑" w:eastAsia="微软雅黑" w:cs="微软雅黑"/>
          <w:sz w:val="20"/>
          <w:szCs w:val="20"/>
          <w:highlight w:val="none"/>
        </w:rPr>
        <w:t>0000/1.00000000-1)×365/360=</w:t>
      </w:r>
      <w:r>
        <w:rPr>
          <w:rFonts w:hint="eastAsia" w:ascii="微软雅黑" w:hAnsi="微软雅黑" w:eastAsia="微软雅黑" w:cs="微软雅黑"/>
          <w:sz w:val="20"/>
          <w:szCs w:val="20"/>
          <w:highlight w:val="none"/>
          <w:lang w:val="en-US" w:eastAsia="zh-CN"/>
        </w:rPr>
        <w:t>4.16</w:t>
      </w:r>
      <w:r>
        <w:rPr>
          <w:rFonts w:hint="eastAsia" w:ascii="微软雅黑" w:hAnsi="微软雅黑" w:eastAsia="微软雅黑" w:cs="微软雅黑"/>
          <w:sz w:val="20"/>
          <w:szCs w:val="20"/>
          <w:highlight w:val="none"/>
        </w:rPr>
        <w:t>%&lt;</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0%，即投资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未达到业绩比较基准</w:t>
      </w:r>
      <w:r>
        <w:rPr>
          <w:rFonts w:hint="eastAsia" w:ascii="微软雅黑" w:hAnsi="微软雅黑" w:eastAsia="微软雅黑" w:cs="微软雅黑"/>
          <w:sz w:val="20"/>
          <w:szCs w:val="20"/>
          <w:highlight w:val="none"/>
          <w:lang w:eastAsia="zh-CN"/>
        </w:rPr>
        <w:t>上限</w:t>
      </w:r>
      <w:r>
        <w:rPr>
          <w:rFonts w:hint="eastAsia" w:ascii="微软雅黑" w:hAnsi="微软雅黑" w:eastAsia="微软雅黑" w:cs="微软雅黑"/>
          <w:sz w:val="20"/>
          <w:szCs w:val="20"/>
          <w:highlight w:val="none"/>
        </w:rPr>
        <w:t>，此时，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银行不收取</w:t>
      </w:r>
      <w:r>
        <w:rPr>
          <w:rFonts w:hint="eastAsia" w:ascii="微软雅黑" w:hAnsi="微软雅黑" w:eastAsia="微软雅黑" w:cs="微软雅黑"/>
          <w:sz w:val="20"/>
          <w:szCs w:val="20"/>
          <w:highlight w:val="none"/>
          <w:lang w:eastAsia="zh-CN"/>
        </w:rPr>
        <w:t>浮动管理费。</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投资者实际投资收益</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50,000.00×</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rPr>
        <w:t>1.0</w:t>
      </w:r>
      <w:r>
        <w:rPr>
          <w:rFonts w:hint="eastAsia" w:ascii="微软雅黑" w:hAnsi="微软雅黑" w:eastAsia="微软雅黑" w:cs="微软雅黑"/>
          <w:sz w:val="20"/>
          <w:szCs w:val="20"/>
          <w:highlight w:val="none"/>
          <w:lang w:val="en-US" w:eastAsia="zh-CN"/>
        </w:rPr>
        <w:t>410</w:t>
      </w:r>
      <w:r>
        <w:rPr>
          <w:rFonts w:hint="eastAsia" w:ascii="微软雅黑" w:hAnsi="微软雅黑" w:eastAsia="微软雅黑" w:cs="微软雅黑"/>
          <w:sz w:val="20"/>
          <w:szCs w:val="20"/>
          <w:highlight w:val="none"/>
        </w:rPr>
        <w:t>0000</w:t>
      </w:r>
      <w:r>
        <w:rPr>
          <w:rFonts w:hint="eastAsia" w:ascii="微软雅黑" w:hAnsi="微软雅黑" w:eastAsia="微软雅黑" w:cs="微软雅黑"/>
          <w:sz w:val="20"/>
          <w:szCs w:val="20"/>
          <w:highlight w:val="none"/>
          <w:lang w:val="en-US" w:eastAsia="zh-CN"/>
        </w:rPr>
        <w:t>-1.00000000)</w:t>
      </w:r>
      <w:r>
        <w:rPr>
          <w:rFonts w:hint="eastAsia" w:ascii="微软雅黑" w:hAnsi="微软雅黑" w:eastAsia="微软雅黑" w:cs="微软雅黑"/>
          <w:sz w:val="20"/>
          <w:szCs w:val="20"/>
          <w:highlight w:val="none"/>
        </w:rPr>
        <w:t>=2,050.00</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元）。</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eastAsia="zh-CN"/>
        </w:rPr>
        <w:t>情景三：</w:t>
      </w:r>
      <w:r>
        <w:rPr>
          <w:rFonts w:hint="eastAsia" w:ascii="微软雅黑" w:hAnsi="微软雅黑" w:eastAsia="微软雅黑" w:cs="微软雅黑"/>
          <w:sz w:val="20"/>
          <w:szCs w:val="20"/>
          <w:highlight w:val="none"/>
        </w:rPr>
        <w:t>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w:t>
      </w:r>
      <w:r>
        <w:rPr>
          <w:rFonts w:hint="eastAsia" w:ascii="微软雅黑" w:hAnsi="微软雅黑" w:eastAsia="微软雅黑" w:cs="微软雅黑"/>
          <w:sz w:val="20"/>
          <w:szCs w:val="20"/>
          <w:highlight w:val="none"/>
          <w:lang w:eastAsia="zh-CN"/>
        </w:rPr>
        <w:t>，投资表现低于业绩比较基准下限，管理人有权选择是否启用回拨机制</w:t>
      </w:r>
      <w:r>
        <w:rPr>
          <w:rFonts w:hint="eastAsia" w:ascii="微软雅黑" w:hAnsi="微软雅黑" w:eastAsia="微软雅黑" w:cs="微软雅黑"/>
          <w:sz w:val="20"/>
          <w:szCs w:val="20"/>
          <w:highlight w:val="none"/>
          <w:lang w:val="en-US"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假设客户投资5万元，购买时产品净值为1.00000000元，折算份额为50,000.00份。产品到期时，若客户持有的份额依然为50,000.00份（即存续期中未发生提前终止或其他情形），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）后，如产品净值为1.0</w:t>
      </w:r>
      <w:r>
        <w:rPr>
          <w:rFonts w:hint="eastAsia" w:ascii="微软雅黑" w:hAnsi="微软雅黑" w:eastAsia="微软雅黑" w:cs="微软雅黑"/>
          <w:sz w:val="20"/>
          <w:szCs w:val="20"/>
          <w:highlight w:val="none"/>
          <w:lang w:val="en-US" w:eastAsia="zh-CN"/>
        </w:rPr>
        <w:t>350</w:t>
      </w:r>
      <w:r>
        <w:rPr>
          <w:rFonts w:hint="eastAsia" w:ascii="微软雅黑" w:hAnsi="微软雅黑" w:eastAsia="微软雅黑" w:cs="微软雅黑"/>
          <w:sz w:val="20"/>
          <w:szCs w:val="20"/>
          <w:highlight w:val="none"/>
        </w:rPr>
        <w:t>0000</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此时，(1.0</w:t>
      </w:r>
      <w:r>
        <w:rPr>
          <w:rFonts w:hint="eastAsia" w:ascii="微软雅黑" w:hAnsi="微软雅黑" w:eastAsia="微软雅黑" w:cs="微软雅黑"/>
          <w:sz w:val="20"/>
          <w:szCs w:val="20"/>
          <w:highlight w:val="none"/>
          <w:lang w:val="en-US" w:eastAsia="zh-CN"/>
        </w:rPr>
        <w:t>350</w:t>
      </w:r>
      <w:r>
        <w:rPr>
          <w:rFonts w:hint="eastAsia" w:ascii="微软雅黑" w:hAnsi="微软雅黑" w:eastAsia="微软雅黑" w:cs="微软雅黑"/>
          <w:sz w:val="20"/>
          <w:szCs w:val="20"/>
          <w:highlight w:val="none"/>
        </w:rPr>
        <w:t>0000/1.00000000-1)×365/360=</w:t>
      </w:r>
      <w:r>
        <w:rPr>
          <w:rFonts w:hint="eastAsia" w:ascii="微软雅黑" w:hAnsi="微软雅黑" w:eastAsia="微软雅黑" w:cs="微软雅黑"/>
          <w:sz w:val="20"/>
          <w:szCs w:val="20"/>
          <w:highlight w:val="none"/>
          <w:lang w:val="en-US" w:eastAsia="zh-CN"/>
        </w:rPr>
        <w:t>3.55</w:t>
      </w:r>
      <w:r>
        <w:rPr>
          <w:rFonts w:hint="eastAsia" w:ascii="微软雅黑" w:hAnsi="微软雅黑" w:eastAsia="微软雅黑" w:cs="微软雅黑"/>
          <w:sz w:val="20"/>
          <w:szCs w:val="20"/>
          <w:highlight w:val="none"/>
        </w:rPr>
        <w:t>%&lt;</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0</w:t>
      </w:r>
      <w:r>
        <w:rPr>
          <w:rFonts w:hint="eastAsia" w:ascii="微软雅黑" w:hAnsi="微软雅黑" w:eastAsia="微软雅黑" w:cs="微软雅黑"/>
          <w:sz w:val="20"/>
          <w:szCs w:val="20"/>
          <w:highlight w:val="none"/>
        </w:rPr>
        <w:t>0%，即投资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未达到业绩比较基准</w:t>
      </w:r>
      <w:r>
        <w:rPr>
          <w:rFonts w:hint="eastAsia" w:ascii="微软雅黑" w:hAnsi="微软雅黑" w:eastAsia="微软雅黑" w:cs="微软雅黑"/>
          <w:sz w:val="20"/>
          <w:szCs w:val="20"/>
          <w:highlight w:val="none"/>
          <w:lang w:val="en-US" w:eastAsia="zh-CN"/>
        </w:rPr>
        <w:t>下</w:t>
      </w:r>
      <w:r>
        <w:rPr>
          <w:rFonts w:hint="eastAsia" w:ascii="微软雅黑" w:hAnsi="微软雅黑" w:eastAsia="微软雅黑" w:cs="微软雅黑"/>
          <w:sz w:val="20"/>
          <w:szCs w:val="20"/>
          <w:highlight w:val="none"/>
          <w:lang w:eastAsia="zh-CN"/>
        </w:rPr>
        <w:t>限</w:t>
      </w:r>
      <w:r>
        <w:rPr>
          <w:rFonts w:hint="eastAsia" w:ascii="微软雅黑" w:hAnsi="微软雅黑" w:eastAsia="微软雅黑" w:cs="微软雅黑"/>
          <w:sz w:val="20"/>
          <w:szCs w:val="20"/>
          <w:highlight w:val="none"/>
        </w:rPr>
        <w:t>，如管理人选择启用回拨机制，以已计提的</w:t>
      </w:r>
      <w:r>
        <w:rPr>
          <w:rFonts w:hint="eastAsia" w:ascii="微软雅黑" w:hAnsi="微软雅黑" w:eastAsia="微软雅黑" w:cs="微软雅黑"/>
          <w:sz w:val="20"/>
          <w:szCs w:val="20"/>
          <w:highlight w:val="none"/>
          <w:lang w:val="en-US" w:eastAsia="zh-CN"/>
        </w:rPr>
        <w:t>固定</w:t>
      </w:r>
      <w:r>
        <w:rPr>
          <w:rFonts w:hint="eastAsia" w:ascii="微软雅黑" w:hAnsi="微软雅黑" w:eastAsia="微软雅黑" w:cs="微软雅黑"/>
          <w:sz w:val="20"/>
          <w:szCs w:val="20"/>
          <w:highlight w:val="none"/>
        </w:rPr>
        <w:t>管理费和销售手续费为限对投资者进行回拨，不超过业绩比较基准下限</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最大回拨金额=50,000.00*（4.00%-3.55%）*360/365=221.92</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投资者实际投资收益：</w:t>
      </w:r>
      <w:r>
        <w:rPr>
          <w:rFonts w:hint="eastAsia" w:ascii="微软雅黑" w:hAnsi="微软雅黑" w:eastAsia="微软雅黑" w:cs="微软雅黑"/>
          <w:sz w:val="20"/>
          <w:szCs w:val="20"/>
          <w:highlight w:val="none"/>
        </w:rPr>
        <w:t>50,000.00×</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1.03500000-1.00000000）+221.92=1,971.92（元）</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（以上情景均采用假设数据计算，仅为举例之用，不作为最终收益的计算依据。测算收益不等于实际收益，亦不构成</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银行对本理财产品的任何收益承诺，投资须谨慎。）</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3.分红规则</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（1）本产品存续期间不分红。</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（2）管理人有权根据产品实际运作情况，对本产品的分红规则进行调整，如有相应调整，将于调整前3个工作日进行信息披露。</w:t>
      </w:r>
    </w:p>
    <w:p>
      <w:pPr>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九</w:t>
      </w:r>
      <w:r>
        <w:rPr>
          <w:rFonts w:hint="eastAsia" w:ascii="微软雅黑" w:hAnsi="微软雅黑" w:eastAsia="微软雅黑" w:cs="微软雅黑"/>
          <w:b/>
          <w:sz w:val="20"/>
          <w:szCs w:val="20"/>
          <w:highlight w:val="none"/>
        </w:rPr>
        <w:t>、理财产品估值</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（一）估值日</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本理财产品存续期内每周三以及理财产品终止日前一自然日为估值日，如周三为非工作日，则估值日顺延至下一个工作日。管理人于估值日后3个工作日内公布该估值。</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（二）估值对象</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本理财产品所拥有的各类资产及负债。</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（三）估值方法</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本理财产品所投资各类资产原则上按照公允价值估值，具体估值方法如下：</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1.货币市场工具类</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（1）存款、拆借、</w:t>
      </w:r>
      <w:r>
        <w:rPr>
          <w:rFonts w:hint="eastAsia" w:ascii="微软雅黑" w:hAnsi="微软雅黑" w:eastAsia="微软雅黑" w:cs="微软雅黑"/>
          <w:sz w:val="20"/>
          <w:szCs w:val="20"/>
          <w:highlight w:val="none"/>
          <w:lang w:eastAsia="zh-CN"/>
        </w:rPr>
        <w:t>债券</w:t>
      </w:r>
      <w:r>
        <w:rPr>
          <w:rFonts w:hint="eastAsia" w:ascii="微软雅黑" w:hAnsi="微软雅黑" w:eastAsia="微软雅黑" w:cs="微软雅黑"/>
          <w:sz w:val="20"/>
          <w:szCs w:val="20"/>
          <w:highlight w:val="none"/>
        </w:rPr>
        <w:t>回购等以本金列示，逐日计提利息；</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（2）货币基金以当日基金净值估值。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2.本理财产品直接持有的标准化债权类资产</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（1）原则上以公允价值计量，可选取第三方估值机构（中债、中证等）提供的估值价格、收盘价、或其他估值技术确定公允价值</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（2）以收取合同现金流量为目的并持有到期为目的，按照企业会计准则要求，以摊余成本法估值</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3.本理财产品投资于信托计划、资产管理计划等的资产</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（1）按合同约定的估值方案，以信托计划的受托人、资产管理计划的管理人等和资产托管人共同确认的净值或投资收益情况进行估值；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（2）对于无活跃交易的非标准化债权资产等，按</w:t>
      </w:r>
      <w:r>
        <w:rPr>
          <w:rFonts w:hint="eastAsia" w:ascii="微软雅黑" w:hAnsi="微软雅黑" w:eastAsia="微软雅黑" w:cs="微软雅黑"/>
          <w:sz w:val="20"/>
          <w:szCs w:val="20"/>
          <w:highlight w:val="none"/>
          <w:lang w:eastAsia="zh-CN"/>
        </w:rPr>
        <w:t>估值技术确定</w:t>
      </w:r>
      <w:r>
        <w:rPr>
          <w:rFonts w:hint="eastAsia" w:ascii="微软雅黑" w:hAnsi="微软雅黑" w:eastAsia="微软雅黑" w:cs="微软雅黑"/>
          <w:sz w:val="20"/>
          <w:szCs w:val="20"/>
          <w:highlight w:val="none"/>
        </w:rPr>
        <w:t>。</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4.投资证券投资基金的估值方法</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（1）对于交易所上市的ETF基金、定期开放式基金、封闭式基金、公开募集基础设施证券投资基金，按其所在证券交易所的收盘价估值。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（2）对于交易所上市的开放式基金（LOF），按所投资基金的基金管理人披露的估值日份额净值进行估值。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（3）对于未在交易所上市的场外基金，按估值日的基金份额净值估值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.其他资产类估值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其他资产存在并可以确定公允价值的，以公允价值计算，公允价值不能确定的按估值技术确定。</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rPr>
        <w:t>.国家有最新规定的，按其规定进行估值。</w:t>
      </w:r>
    </w:p>
    <w:p>
      <w:pPr>
        <w:spacing w:beforeLines="0" w:afterLines="0" w:line="320" w:lineRule="exact"/>
        <w:ind w:firstLine="200" w:firstLineChars="1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（四）本期理财产品由</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银行聘请第三方机构进行估值服务，估值服务所产生的运营服务费由理财产品财产承担。</w:t>
      </w:r>
    </w:p>
    <w:p>
      <w:pPr>
        <w:numPr>
          <w:ilvl w:val="-1"/>
          <w:numId w:val="0"/>
        </w:numPr>
        <w:spacing w:beforeLines="0" w:afterLines="0" w:line="320" w:lineRule="exact"/>
        <w:ind w:firstLine="200" w:firstLineChars="1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lang w:eastAsia="zh-CN"/>
        </w:rPr>
        <w:t>（五）估值错误的处理</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本理财产品管理人和理财产品托管人将采取必要、适当、合理的措施确保本理财产品估值的准确性、及时性。</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1.估值错误处理原则</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当估值出现错误时，因估值错误而获得不当得利的投资者负有及时返还不当得利的义务；</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按法律法规规定的其他估值原则处理估值错误。</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2.估值错误处理程序</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估值错误被发现后，理财产品管理人和理财产品托管人应当及时进行处理，处理的程序如下：</w:t>
      </w:r>
    </w:p>
    <w:p>
      <w:pPr>
        <w:numPr>
          <w:ilvl w:val="0"/>
          <w:numId w:val="3"/>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查明估值错误发生的原因，列明所有的管理人和托管人并根据估值错误发生的原因确定估值错误的责任方；</w:t>
      </w:r>
    </w:p>
    <w:p>
      <w:pPr>
        <w:numPr>
          <w:ilvl w:val="0"/>
          <w:numId w:val="3"/>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根据估值错误处理原则对因估值错误造成的损失进行评估；</w:t>
      </w:r>
    </w:p>
    <w:p>
      <w:pPr>
        <w:numPr>
          <w:ilvl w:val="0"/>
          <w:numId w:val="3"/>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3.特殊情况的处理</w:t>
      </w:r>
    </w:p>
    <w:p>
      <w:pPr>
        <w:numPr>
          <w:ilvl w:val="0"/>
          <w:numId w:val="4"/>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理财产品管理人、理财产品托管人按照本说明书估值方法进行估值时，所造成的误差不作为估值错误处理；</w:t>
      </w:r>
    </w:p>
    <w:p>
      <w:pPr>
        <w:numPr>
          <w:ilvl w:val="0"/>
          <w:numId w:val="4"/>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4"/>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beforeLines="0" w:afterLines="0" w:line="320" w:lineRule="exact"/>
        <w:ind w:firstLine="200" w:firstLineChars="100"/>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（六）暂停估值的情形</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1.当资产估值因不可抗力或其他情形致使本产品管理人和托管人无法准确评估资产价值时；</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2.理财产品投资所涉及的交易市场遇法定节假日或其他原因暂停营业时；</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3.理财产品投资的其他资产产品合同约定暂停估值或无法估值的情形发生，致使理财产品无法估值时；</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4.占理财产品相当比例的投资品种的估值出现重大转变，而管理人为保障投资者的利益，已决定延迟估值；</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5.监管机构认定的其他情形或理财产品管理人、理财产品托管人有合理理由认为将影响理财产品估值的其他情形。</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遇以上情形，管理人可暂停本产品估值直至另行通知。</w:t>
      </w:r>
    </w:p>
    <w:p>
      <w:pPr>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val="en-US" w:eastAsia="zh-CN"/>
        </w:rPr>
        <w:t>十</w:t>
      </w:r>
      <w:r>
        <w:rPr>
          <w:rFonts w:hint="eastAsia" w:ascii="微软雅黑" w:hAnsi="微软雅黑" w:eastAsia="微软雅黑" w:cs="微软雅黑"/>
          <w:b/>
          <w:sz w:val="20"/>
          <w:szCs w:val="20"/>
          <w:highlight w:val="none"/>
        </w:rPr>
        <w:t>、信息披露</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银行将及时在各营业网点或官方网站或</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银行认为适当的其他渠道，发布产品的相关公告，具体公告分类如下：</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1.如本理财产品顺利成立，</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银行将于理财产品成立日后5个工作日内，发布“产品发行公告”。如本理财产品不能顺利成立，</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银行将于决定理财产品不成立之日后2个工作日内,发布“产品不成立公告”。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2.如本理财产品顺利到期，</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银行将于理财产品到期日后5个工作日内，发布“产品到期公告”。如需提前终止本理财产品，</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银行将于提前终止日前2个工作日内，发布“产品提前终止公告”。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3.理财产品存续期间，</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银行将于每周公告产品净值。</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在每季度结束之日起15日内，披露本理财产品的季度报告（本理财产品成立不足90个自然日或剩余存续期不足完整报告期除外），每年8月31日前披露本理财产品的半年度报告，每年4月30日前披露本理财产品上一年度的年度报告，向投资者披露产品投资状况、投资表现、风险状况等信息。</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4.理财产品存续期间，</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银行如需对《产品说明书》的相关条款（包括但不限于业绩比较基准、投资范围、估值方法、相关费用等）进行补充、说明和修改，可以提前2个工作日发布公告。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5.理财产品存续期间，如国家宏观政策或市场发生了可能对本理财产品本金及收益造成重大影响的事件，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银行将于重大事件后的2个工作日内发布“重大事项公告”。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6.客户需要咨询本理财产品相关信息的，可到</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银行各营业网点咨询，也可致电</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银行24小时客户服务热线96588（广东省外请加拨0756）或4008800338咨询。</w:t>
      </w:r>
      <w:bookmarkStart w:id="0" w:name="_Hlt97867810"/>
      <w:bookmarkEnd w:id="0"/>
      <w:r>
        <w:rPr>
          <w:rFonts w:hint="eastAsia" w:ascii="微软雅黑" w:hAnsi="微软雅黑" w:eastAsia="微软雅黑" w:cs="微软雅黑"/>
          <w:sz w:val="20"/>
          <w:szCs w:val="20"/>
          <w:highlight w:val="none"/>
          <w:lang w:val="en-US" w:eastAsia="zh-CN"/>
        </w:rPr>
        <w:t>如对本理财产品有相关建议或投诉，也可咨询我行营业网点或客服热线。</w:t>
      </w:r>
    </w:p>
    <w:p>
      <w:pPr>
        <w:spacing w:before="313" w:beforeLines="10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十</w:t>
      </w:r>
      <w:r>
        <w:rPr>
          <w:rFonts w:hint="eastAsia" w:ascii="微软雅黑" w:hAnsi="微软雅黑" w:eastAsia="微软雅黑" w:cs="微软雅黑"/>
          <w:b/>
          <w:bCs/>
          <w:sz w:val="20"/>
          <w:szCs w:val="20"/>
          <w:highlight w:val="none"/>
          <w:lang w:val="en-US" w:eastAsia="zh-CN"/>
        </w:rPr>
        <w:t>一</w:t>
      </w:r>
      <w:r>
        <w:rPr>
          <w:rFonts w:hint="eastAsia" w:ascii="微软雅黑" w:hAnsi="微软雅黑" w:eastAsia="微软雅黑" w:cs="微软雅黑"/>
          <w:b/>
          <w:bCs/>
          <w:sz w:val="20"/>
          <w:szCs w:val="20"/>
          <w:highlight w:val="none"/>
        </w:rPr>
        <w:t>、其他</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（一）本理财产品中示例均采用假设数据，并不代表客户实际可获得的收益。</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（二）受理时间、信息披露的相关时间以广东华润银行业务处理系统记录为准。</w:t>
      </w:r>
    </w:p>
    <w:p>
      <w:pPr>
        <w:spacing w:beforeLines="0" w:afterLines="0" w:line="320" w:lineRule="exact"/>
        <w:ind w:firstLine="400" w:firstLineChars="200"/>
        <w:rPr>
          <w:rFonts w:hint="eastAsia" w:ascii="微软雅黑" w:hAnsi="微软雅黑" w:eastAsia="微软雅黑" w:cs="微软雅黑"/>
          <w:b/>
          <w:bCs/>
          <w:sz w:val="20"/>
          <w:szCs w:val="20"/>
          <w:highlight w:val="none"/>
          <w:lang w:eastAsia="zh-CN"/>
        </w:rPr>
      </w:pPr>
      <w:r>
        <w:rPr>
          <w:rFonts w:hint="eastAsia" w:ascii="微软雅黑" w:hAnsi="微软雅黑" w:eastAsia="微软雅黑" w:cs="微软雅黑"/>
          <w:b/>
          <w:bCs/>
          <w:sz w:val="20"/>
          <w:szCs w:val="20"/>
          <w:highlight w:val="none"/>
        </w:rPr>
        <w:t>（三）投资者承诺其用于投资本理财产品的资金来源合法合规，不存在使用信贷资金等的非自有资金投资本理财产品的情形。</w:t>
      </w:r>
    </w:p>
    <w:p>
      <w:pPr>
        <w:spacing w:beforeLines="0" w:afterLines="0" w:line="320" w:lineRule="exact"/>
        <w:ind w:firstLine="400" w:firstLineChars="200"/>
        <w:rPr>
          <w:rFonts w:hint="eastAsia" w:ascii="微软雅黑" w:hAnsi="微软雅黑" w:eastAsia="微软雅黑" w:cs="微软雅黑"/>
          <w:b/>
          <w:bCs/>
          <w:sz w:val="20"/>
          <w:szCs w:val="20"/>
          <w:highlight w:val="none"/>
          <w:lang w:eastAsia="zh-CN"/>
        </w:rPr>
      </w:pPr>
      <w:r>
        <w:rPr>
          <w:rFonts w:hint="eastAsia" w:ascii="微软雅黑" w:hAnsi="微软雅黑" w:eastAsia="微软雅黑" w:cs="微软雅黑"/>
          <w:b/>
          <w:bCs/>
          <w:sz w:val="20"/>
          <w:szCs w:val="20"/>
          <w:highlight w:val="none"/>
        </w:rPr>
        <w:t>（四）投资者承诺投资本理财产品使用的资金为投资者合法持有，不存在代他人持有或投资理财产品的情形；资金来源合法合规，不属于依据联合国、中国政府及其他可适用政府或国际组织制裁（名单）范围；仅为合法目的投资本理财产品；如发生异常情况，投资者承诺配合管理人开展客户身份识别及尽职调查等反洗钱相关工作，及时、真实、准确、完整提供身份信息及资金来源等信息。如管理人发现投资者或投资者重要关联方存在洗钱或者被制裁风险，例如提供不实、不完整或者无效的身份或交易信息，未及时更新身份证明文件，投资者或投资者账户、投资者重要关联方出现异常或涉嫌洗钱、恐怖融资，投资者或投资者交易、投资者重要关联方或其交易涉及联合国、中国等国际组织或国家发布的监控名单或者制裁事项，或投资者/投资者重要关联方在使用金融服务中出现其他违反可适用法律法规的情况等，管理人有权单方对投资者采取拒绝开户申请、限制交易、停止支付及终止账户业务等一项或多项措施，并可要求投资者配合尽职调查、补充证明文件或者在指定期限内办理销户及其他相关手续。投资者逾期未办理的，则视同自愿销户，此时管理人可单方予以销户。销售服务机构及管理人因投资者出现本条所述的风险情况而采取上述措施所造成的责任和损失由投资者自行承担，给管理人造成损失的，投资者应承担相应赔偿责任。上述“重要关联方”包含“法定代表人、实际控制人、受益所有人、重要投资人、重要被投资人、重要债权人、被控制实体等”。</w:t>
      </w:r>
    </w:p>
    <w:p>
      <w:pPr>
        <w:spacing w:beforeLines="0" w:afterLines="0" w:line="320" w:lineRule="exact"/>
        <w:ind w:firstLine="400" w:firstLineChars="200"/>
        <w:rPr>
          <w:rFonts w:hint="eastAsia" w:ascii="微软雅黑" w:hAnsi="微软雅黑" w:eastAsia="微软雅黑" w:cs="微软雅黑"/>
          <w:b/>
          <w:bCs/>
          <w:sz w:val="20"/>
          <w:szCs w:val="20"/>
          <w:highlight w:val="none"/>
          <w:lang w:eastAsia="zh-CN"/>
        </w:rPr>
      </w:pPr>
      <w:r>
        <w:rPr>
          <w:rFonts w:hint="eastAsia" w:ascii="微软雅黑" w:hAnsi="微软雅黑" w:eastAsia="微软雅黑" w:cs="微软雅黑"/>
          <w:b/>
          <w:bCs/>
          <w:sz w:val="20"/>
          <w:szCs w:val="20"/>
          <w:highlight w:val="none"/>
        </w:rPr>
        <w:t>（五）除本《产品说明书》中明确规定的收益及收益分配方式外，任何业绩比较基准或类似表述均属不具有法律约束力的用语，不代表投资者可能获得的实际收益，亦不构成管理人对本理财产品的任何收益承诺。投资者所能获得的最终收益以管理人实际支付的为准。</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（六）</w:t>
      </w:r>
      <w:r>
        <w:rPr>
          <w:rFonts w:hint="eastAsia" w:ascii="微软雅黑" w:hAnsi="微软雅黑" w:eastAsia="微软雅黑" w:cs="微软雅黑"/>
          <w:b/>
          <w:bCs/>
          <w:color w:val="auto"/>
          <w:spacing w:val="0"/>
          <w:kern w:val="2"/>
          <w:sz w:val="20"/>
          <w:szCs w:val="20"/>
          <w:highlight w:val="none"/>
          <w:lang w:val="en-US" w:eastAsia="zh-CN" w:bidi="ar"/>
        </w:rPr>
        <w:t>在本产品存续期内，如出于维持本产品正常运营的需要且在不实质损害投资者利益的前提下，或因国家法律法规、监管规定发生变化，管理人有权在法律允许的范围内单方对本《产品说明书》进行修订。管理人决定对《产品说明书》进行修订的，将提前3个工作日以本《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调整收费条件和方式等），投资者如不同意补充或修改后的说明书，可在广东华润银行信息披露的补充或修改后的相关业务调整生效前赎回本理财产品。（若为封闭式理财产品的，在符合法律法规及监管政策的前提下，可由管理人另行决定投资者的退出方式）若投资者未选择退出本产品的，则视为已理解并接受管理人的相应变更。</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color w:val="auto"/>
          <w:spacing w:val="0"/>
          <w:kern w:val="2"/>
          <w:sz w:val="20"/>
          <w:szCs w:val="20"/>
          <w:highlight w:val="none"/>
          <w:lang w:val="en-US" w:eastAsia="zh-CN" w:bidi="ar"/>
        </w:rPr>
        <w:t>（七）</w:t>
      </w:r>
      <w:r>
        <w:rPr>
          <w:rFonts w:hint="eastAsia" w:ascii="微软雅黑" w:hAnsi="微软雅黑" w:eastAsia="微软雅黑" w:cs="微软雅黑"/>
          <w:b/>
          <w:bCs/>
          <w:sz w:val="20"/>
          <w:szCs w:val="20"/>
          <w:highlight w:val="none"/>
        </w:rPr>
        <w:t>如本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为纸质文本的，由投资者在</w:t>
      </w:r>
      <w:r>
        <w:rPr>
          <w:rFonts w:hint="eastAsia" w:ascii="微软雅黑" w:hAnsi="微软雅黑" w:eastAsia="微软雅黑" w:cs="微软雅黑"/>
          <w:b/>
          <w:bCs/>
          <w:sz w:val="20"/>
          <w:szCs w:val="20"/>
          <w:highlight w:val="none"/>
        </w:rPr>
        <w:t>如本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上签名，</w:t>
      </w:r>
      <w:r>
        <w:rPr>
          <w:rFonts w:hint="eastAsia" w:ascii="微软雅黑" w:hAnsi="微软雅黑" w:eastAsia="微软雅黑" w:cs="微软雅黑"/>
          <w:b/>
          <w:bCs/>
          <w:sz w:val="20"/>
          <w:szCs w:val="20"/>
          <w:highlight w:val="none"/>
        </w:rPr>
        <w:t>即表示</w:t>
      </w:r>
      <w:r>
        <w:rPr>
          <w:rFonts w:hint="eastAsia" w:ascii="微软雅黑" w:hAnsi="微软雅黑" w:eastAsia="微软雅黑" w:cs="微软雅黑"/>
          <w:b/>
          <w:bCs/>
          <w:sz w:val="20"/>
          <w:szCs w:val="20"/>
          <w:highlight w:val="none"/>
          <w:lang w:val="en-US" w:eastAsia="zh-CN"/>
        </w:rPr>
        <w:t>您</w:t>
      </w:r>
      <w:r>
        <w:rPr>
          <w:rFonts w:hint="eastAsia" w:ascii="微软雅黑" w:hAnsi="微软雅黑" w:eastAsia="微软雅黑" w:cs="微软雅黑"/>
          <w:b/>
          <w:bCs/>
          <w:sz w:val="20"/>
          <w:szCs w:val="20"/>
          <w:highlight w:val="none"/>
        </w:rPr>
        <w:t>已阅读并同意本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即</w:t>
      </w:r>
      <w:r>
        <w:rPr>
          <w:rFonts w:hint="eastAsia" w:ascii="微软雅黑" w:hAnsi="微软雅黑" w:eastAsia="微软雅黑" w:cs="微软雅黑"/>
          <w:b/>
          <w:bCs/>
          <w:sz w:val="20"/>
          <w:szCs w:val="20"/>
          <w:highlight w:val="none"/>
          <w:lang w:val="en-US" w:eastAsia="zh-CN"/>
        </w:rPr>
        <w:t>已完成签署并具有法律约束力</w:t>
      </w:r>
      <w:r>
        <w:rPr>
          <w:rFonts w:hint="eastAsia" w:ascii="微软雅黑" w:hAnsi="微软雅黑" w:eastAsia="微软雅黑" w:cs="微软雅黑"/>
          <w:b/>
          <w:bCs/>
          <w:sz w:val="20"/>
          <w:szCs w:val="20"/>
          <w:highlight w:val="none"/>
        </w:rPr>
        <w:t>。</w:t>
      </w:r>
    </w:p>
    <w:p>
      <w:pPr>
        <w:keepNext w:val="0"/>
        <w:keepLines w:val="0"/>
        <w:widowControl/>
        <w:suppressLineNumbers w:val="0"/>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如本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为通过广东华润银行电子业务系统线上签署的，</w:t>
      </w:r>
      <w:r>
        <w:rPr>
          <w:rFonts w:hint="eastAsia" w:ascii="微软雅黑" w:hAnsi="微软雅黑" w:eastAsia="微软雅黑" w:cs="微软雅黑"/>
          <w:b/>
          <w:bCs/>
          <w:sz w:val="20"/>
          <w:szCs w:val="20"/>
          <w:highlight w:val="none"/>
        </w:rPr>
        <w:t>您在操作页面上的</w:t>
      </w:r>
      <w:r>
        <w:rPr>
          <w:rFonts w:hint="eastAsia" w:ascii="微软雅黑" w:hAnsi="微软雅黑" w:eastAsia="微软雅黑" w:cs="微软雅黑"/>
          <w:b/>
          <w:bCs/>
          <w:sz w:val="20"/>
          <w:szCs w:val="20"/>
          <w:highlight w:val="none"/>
          <w:lang w:val="en-US" w:eastAsia="zh-CN"/>
        </w:rPr>
        <w:t>点击同意/</w:t>
      </w:r>
      <w:r>
        <w:rPr>
          <w:rFonts w:hint="eastAsia" w:ascii="微软雅黑" w:hAnsi="微软雅黑" w:eastAsia="微软雅黑" w:cs="微软雅黑"/>
          <w:b/>
          <w:bCs/>
          <w:sz w:val="20"/>
          <w:szCs w:val="20"/>
          <w:highlight w:val="none"/>
        </w:rPr>
        <w:t>确认、</w:t>
      </w:r>
      <w:r>
        <w:rPr>
          <w:rFonts w:hint="eastAsia" w:ascii="微软雅黑" w:hAnsi="微软雅黑" w:eastAsia="微软雅黑" w:cs="微软雅黑"/>
          <w:b/>
          <w:bCs/>
          <w:sz w:val="20"/>
          <w:szCs w:val="20"/>
          <w:highlight w:val="none"/>
          <w:lang w:val="en-US" w:eastAsia="zh-CN"/>
        </w:rPr>
        <w:t>电子签名、</w:t>
      </w:r>
      <w:r>
        <w:rPr>
          <w:rFonts w:hint="eastAsia" w:ascii="微软雅黑" w:hAnsi="微软雅黑" w:eastAsia="微软雅黑" w:cs="微软雅黑"/>
          <w:b/>
          <w:bCs/>
          <w:sz w:val="20"/>
          <w:szCs w:val="20"/>
          <w:highlight w:val="none"/>
        </w:rPr>
        <w:t>勾选等即表示您已阅读并同意本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即</w:t>
      </w:r>
      <w:r>
        <w:rPr>
          <w:rFonts w:hint="eastAsia" w:ascii="微软雅黑" w:hAnsi="微软雅黑" w:eastAsia="微软雅黑" w:cs="微软雅黑"/>
          <w:b/>
          <w:bCs/>
          <w:sz w:val="20"/>
          <w:szCs w:val="20"/>
          <w:highlight w:val="none"/>
          <w:lang w:val="en-US" w:eastAsia="zh-CN"/>
        </w:rPr>
        <w:t>已完成签署并具有法律约束力</w:t>
      </w:r>
      <w:r>
        <w:rPr>
          <w:rFonts w:hint="eastAsia" w:ascii="微软雅黑" w:hAnsi="微软雅黑" w:eastAsia="微软雅黑" w:cs="微软雅黑"/>
          <w:b/>
          <w:bCs/>
          <w:sz w:val="20"/>
          <w:szCs w:val="20"/>
          <w:highlight w:val="none"/>
        </w:rPr>
        <w:t>。</w:t>
      </w:r>
    </w:p>
    <w:p>
      <w:pPr>
        <w:keepNext w:val="0"/>
        <w:keepLines w:val="0"/>
        <w:widowControl/>
        <w:suppressLineNumbers w:val="0"/>
        <w:spacing w:beforeLines="0" w:afterLines="0" w:line="320" w:lineRule="exact"/>
        <w:ind w:firstLine="600" w:firstLineChars="300"/>
        <w:jc w:val="left"/>
        <w:rPr>
          <w:rFonts w:hint="eastAsia" w:ascii="微软雅黑" w:hAnsi="微软雅黑" w:eastAsia="微软雅黑" w:cs="微软雅黑"/>
          <w:b w:val="0"/>
          <w:bCs w:val="0"/>
          <w:sz w:val="20"/>
          <w:szCs w:val="20"/>
        </w:rPr>
      </w:pPr>
    </w:p>
    <w:p>
      <w:pPr>
        <w:keepNext w:val="0"/>
        <w:keepLines w:val="0"/>
        <w:widowControl/>
        <w:suppressLineNumbers w:val="0"/>
        <w:wordWrap w:val="0"/>
        <w:spacing w:beforeLines="0" w:afterLines="0" w:line="320" w:lineRule="exact"/>
        <w:ind w:firstLine="4334" w:firstLineChars="1900"/>
        <w:jc w:val="center"/>
        <w:rPr>
          <w:rFonts w:hint="default" w:ascii="微软雅黑" w:hAnsi="微软雅黑" w:eastAsia="微软雅黑" w:cs="微软雅黑"/>
          <w:b w:val="0"/>
          <w:bCs w:val="0"/>
          <w:color w:val="000000"/>
          <w:spacing w:val="14"/>
          <w:kern w:val="0"/>
          <w:sz w:val="20"/>
          <w:szCs w:val="20"/>
          <w:lang w:val="en-US" w:eastAsia="zh-CN" w:bidi="ar"/>
        </w:rPr>
      </w:pPr>
      <w:r>
        <w:rPr>
          <w:rFonts w:hint="eastAsia" w:ascii="微软雅黑" w:hAnsi="微软雅黑" w:eastAsia="微软雅黑" w:cs="微软雅黑"/>
          <w:b/>
          <w:bCs/>
          <w:color w:val="000000"/>
          <w:spacing w:val="14"/>
          <w:kern w:val="0"/>
          <w:sz w:val="20"/>
          <w:szCs w:val="20"/>
          <w:lang w:val="en-US" w:eastAsia="zh-CN" w:bidi="ar"/>
        </w:rPr>
        <w:t>投资者</w:t>
      </w:r>
      <w:r>
        <w:rPr>
          <w:rFonts w:hint="eastAsia" w:ascii="微软雅黑" w:hAnsi="微软雅黑" w:eastAsia="微软雅黑" w:cs="微软雅黑"/>
          <w:b w:val="0"/>
          <w:bCs w:val="0"/>
          <w:color w:val="000000"/>
          <w:spacing w:val="14"/>
          <w:kern w:val="0"/>
          <w:sz w:val="20"/>
          <w:szCs w:val="20"/>
          <w:lang w:val="en-US" w:eastAsia="zh-CN" w:bidi="ar"/>
        </w:rPr>
        <w:t>（签署）：</w:t>
      </w:r>
    </w:p>
    <w:p>
      <w:pPr>
        <w:widowControl/>
        <w:spacing w:beforeLines="0" w:afterLines="0" w:line="320" w:lineRule="exact"/>
        <w:ind w:firstLine="5928" w:firstLineChars="2600"/>
      </w:pPr>
      <w:r>
        <w:rPr>
          <w:rFonts w:hint="eastAsia" w:ascii="微软雅黑" w:hAnsi="微软雅黑" w:eastAsia="微软雅黑" w:cs="微软雅黑"/>
          <w:b w:val="0"/>
          <w:bCs w:val="0"/>
          <w:color w:val="000000"/>
          <w:spacing w:val="14"/>
          <w:kern w:val="0"/>
          <w:sz w:val="20"/>
          <w:szCs w:val="20"/>
          <w:lang w:val="en-US" w:eastAsia="zh-CN" w:bidi="ar"/>
        </w:rPr>
        <w:t>日期：</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hint="eastAsia" w:eastAsia="宋体"/>
        <w:lang w:eastAsia="zh-CN"/>
      </w:rPr>
    </w:pPr>
  </w:p>
  <w:p>
    <w:pPr>
      <w:pStyle w:val="4"/>
      <w:pBdr>
        <w:bottom w:val="single" w:color="auto" w:sz="4" w:space="0"/>
      </w:pBdr>
      <w:jc w:val="right"/>
      <w:rPr>
        <w:rFonts w:ascii="微软雅黑" w:hAnsi="微软雅黑" w:eastAsia="微软雅黑"/>
        <w:b/>
      </w:rPr>
    </w:pPr>
    <w:r>
      <w:rPr>
        <w:rFonts w:hint="eastAsia" w:ascii="微软雅黑" w:hAnsi="微软雅黑" w:eastAsia="微软雅黑"/>
        <w:b/>
        <w:lang w:val="en-US" w:eastAsia="zh-CN"/>
      </w:rPr>
      <w:t>XX</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D0013362"/>
    <w:multiLevelType w:val="singleLevel"/>
    <w:tmpl w:val="D0013362"/>
    <w:lvl w:ilvl="0" w:tentative="0">
      <w:start w:val="1"/>
      <w:numFmt w:val="decimal"/>
      <w:lvlText w:val="%1."/>
      <w:lvlJc w:val="left"/>
      <w:pPr>
        <w:tabs>
          <w:tab w:val="left" w:pos="312"/>
        </w:tabs>
      </w:pPr>
    </w:lvl>
  </w:abstractNum>
  <w:abstractNum w:abstractNumId="3">
    <w:nsid w:val="03DE00D4"/>
    <w:multiLevelType w:val="singleLevel"/>
    <w:tmpl w:val="03DE00D4"/>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0976388"/>
    <w:rsid w:val="00B75A49"/>
    <w:rsid w:val="01306075"/>
    <w:rsid w:val="01881AE7"/>
    <w:rsid w:val="018B7376"/>
    <w:rsid w:val="019002E5"/>
    <w:rsid w:val="02165FC0"/>
    <w:rsid w:val="03B414CE"/>
    <w:rsid w:val="03BF2E4E"/>
    <w:rsid w:val="05821EFC"/>
    <w:rsid w:val="05AD1DE5"/>
    <w:rsid w:val="05CD394E"/>
    <w:rsid w:val="06205A84"/>
    <w:rsid w:val="065F6EC9"/>
    <w:rsid w:val="06FF7018"/>
    <w:rsid w:val="070F59AD"/>
    <w:rsid w:val="07597FA2"/>
    <w:rsid w:val="07D91F33"/>
    <w:rsid w:val="09825DF4"/>
    <w:rsid w:val="0AD91639"/>
    <w:rsid w:val="0B2E0241"/>
    <w:rsid w:val="0CB8546B"/>
    <w:rsid w:val="0D874889"/>
    <w:rsid w:val="0E9575B0"/>
    <w:rsid w:val="0EEC3F08"/>
    <w:rsid w:val="0F394F64"/>
    <w:rsid w:val="10475161"/>
    <w:rsid w:val="1160723D"/>
    <w:rsid w:val="12A13A06"/>
    <w:rsid w:val="12F30933"/>
    <w:rsid w:val="12F955D8"/>
    <w:rsid w:val="13780584"/>
    <w:rsid w:val="13AC247C"/>
    <w:rsid w:val="1408101E"/>
    <w:rsid w:val="140B2F8F"/>
    <w:rsid w:val="141E4DEA"/>
    <w:rsid w:val="142802AA"/>
    <w:rsid w:val="147F0567"/>
    <w:rsid w:val="148D33AC"/>
    <w:rsid w:val="149C3A86"/>
    <w:rsid w:val="14B15E18"/>
    <w:rsid w:val="16553151"/>
    <w:rsid w:val="16905BDF"/>
    <w:rsid w:val="16F22773"/>
    <w:rsid w:val="181D63C5"/>
    <w:rsid w:val="1B391A14"/>
    <w:rsid w:val="1B5202EC"/>
    <w:rsid w:val="1B7D18F3"/>
    <w:rsid w:val="1B802337"/>
    <w:rsid w:val="1C471657"/>
    <w:rsid w:val="1FB2359F"/>
    <w:rsid w:val="202A0D43"/>
    <w:rsid w:val="2168501B"/>
    <w:rsid w:val="22E77109"/>
    <w:rsid w:val="23F54552"/>
    <w:rsid w:val="2503174A"/>
    <w:rsid w:val="25C920B0"/>
    <w:rsid w:val="26F51686"/>
    <w:rsid w:val="270F5E5A"/>
    <w:rsid w:val="27383F5A"/>
    <w:rsid w:val="27C3535E"/>
    <w:rsid w:val="288E09D9"/>
    <w:rsid w:val="29327EFA"/>
    <w:rsid w:val="2A86235F"/>
    <w:rsid w:val="2AD936AB"/>
    <w:rsid w:val="2B6A1BCA"/>
    <w:rsid w:val="2B80553F"/>
    <w:rsid w:val="2BB970C4"/>
    <w:rsid w:val="2C1C20A9"/>
    <w:rsid w:val="2CD41B44"/>
    <w:rsid w:val="2DCA19E9"/>
    <w:rsid w:val="2F3E3040"/>
    <w:rsid w:val="2F7C7864"/>
    <w:rsid w:val="2FB03A92"/>
    <w:rsid w:val="31E8402B"/>
    <w:rsid w:val="32DC13E4"/>
    <w:rsid w:val="340140E6"/>
    <w:rsid w:val="357E1023"/>
    <w:rsid w:val="35AA05FA"/>
    <w:rsid w:val="37AF0E2E"/>
    <w:rsid w:val="38C20218"/>
    <w:rsid w:val="39B82E07"/>
    <w:rsid w:val="3A38092F"/>
    <w:rsid w:val="3AE3718A"/>
    <w:rsid w:val="3BDD601C"/>
    <w:rsid w:val="3D9E622F"/>
    <w:rsid w:val="3EE9180A"/>
    <w:rsid w:val="3F986A32"/>
    <w:rsid w:val="402A10C5"/>
    <w:rsid w:val="409147A1"/>
    <w:rsid w:val="41392DB8"/>
    <w:rsid w:val="43E401C6"/>
    <w:rsid w:val="453C2BC4"/>
    <w:rsid w:val="453D75E9"/>
    <w:rsid w:val="45585AA1"/>
    <w:rsid w:val="46846E66"/>
    <w:rsid w:val="46AE62C2"/>
    <w:rsid w:val="46BC7146"/>
    <w:rsid w:val="471E510B"/>
    <w:rsid w:val="47F76C91"/>
    <w:rsid w:val="49EE531F"/>
    <w:rsid w:val="4ABD369F"/>
    <w:rsid w:val="4AD8186E"/>
    <w:rsid w:val="4AF16BBD"/>
    <w:rsid w:val="4BDD7BC2"/>
    <w:rsid w:val="4EE91359"/>
    <w:rsid w:val="4F3C523C"/>
    <w:rsid w:val="4F573BE1"/>
    <w:rsid w:val="4FA030D2"/>
    <w:rsid w:val="5007118A"/>
    <w:rsid w:val="50FB1E76"/>
    <w:rsid w:val="523B6595"/>
    <w:rsid w:val="532B2EE7"/>
    <w:rsid w:val="536E6363"/>
    <w:rsid w:val="53C934A7"/>
    <w:rsid w:val="54687333"/>
    <w:rsid w:val="5559781E"/>
    <w:rsid w:val="55C20EA3"/>
    <w:rsid w:val="569B42B8"/>
    <w:rsid w:val="588145FC"/>
    <w:rsid w:val="59FD2DF2"/>
    <w:rsid w:val="5BE432C5"/>
    <w:rsid w:val="5CD3789B"/>
    <w:rsid w:val="5F8B5555"/>
    <w:rsid w:val="5F9F79E6"/>
    <w:rsid w:val="60567BFB"/>
    <w:rsid w:val="608A0BA3"/>
    <w:rsid w:val="60A60246"/>
    <w:rsid w:val="60AC2D12"/>
    <w:rsid w:val="61271414"/>
    <w:rsid w:val="620740F9"/>
    <w:rsid w:val="634E46E0"/>
    <w:rsid w:val="63881E31"/>
    <w:rsid w:val="638B573B"/>
    <w:rsid w:val="640475B9"/>
    <w:rsid w:val="64500020"/>
    <w:rsid w:val="65071796"/>
    <w:rsid w:val="65A00E18"/>
    <w:rsid w:val="660A1DD3"/>
    <w:rsid w:val="67034362"/>
    <w:rsid w:val="695D0F78"/>
    <w:rsid w:val="69A2714C"/>
    <w:rsid w:val="6A9C229C"/>
    <w:rsid w:val="6C0D64ED"/>
    <w:rsid w:val="6C537DED"/>
    <w:rsid w:val="6CF17D97"/>
    <w:rsid w:val="6FFC1A27"/>
    <w:rsid w:val="70C526D0"/>
    <w:rsid w:val="70F0489A"/>
    <w:rsid w:val="710D6DC8"/>
    <w:rsid w:val="712A6482"/>
    <w:rsid w:val="7144135F"/>
    <w:rsid w:val="72534367"/>
    <w:rsid w:val="72A37AC8"/>
    <w:rsid w:val="74944B14"/>
    <w:rsid w:val="76B066AE"/>
    <w:rsid w:val="77D00A8D"/>
    <w:rsid w:val="7A13262E"/>
    <w:rsid w:val="7A40674A"/>
    <w:rsid w:val="7A9A6267"/>
    <w:rsid w:val="7AB9259F"/>
    <w:rsid w:val="7B0E621D"/>
    <w:rsid w:val="7CD83DAF"/>
    <w:rsid w:val="7D116CCB"/>
    <w:rsid w:val="7DC264F9"/>
    <w:rsid w:val="7E344F59"/>
    <w:rsid w:val="7EB7061D"/>
    <w:rsid w:val="7EBD0A5F"/>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3450</Words>
  <Characters>3619</Characters>
  <Lines>0</Lines>
  <Paragraphs>0</Paragraphs>
  <TotalTime>5</TotalTime>
  <ScaleCrop>false</ScaleCrop>
  <LinksUpToDate>false</LinksUpToDate>
  <CharactersWithSpaces>3634</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2026-05-06T07:07:09Z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7738C512BC0B481E88750A421FFF3457_13</vt:lpwstr>
  </property>
  <property fmtid="{D5CDD505-2E9C-101B-9397-08002B2CF9AE}" pid="4" name="KSOTemplateDocerSaveRecord">
    <vt:lpwstr>eyJoZGlkIjoiMmIyN2Q5NmMyNGMyNTc5NmRjN2UyM2JlMjU4NGYwNDEiLCJ1c2VySWQiOiIyNDY3NzMwMTMifQ==</vt:lpwstr>
  </property>
</Properties>
</file>