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958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958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154</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696A47"/>
    <w:rsid w:val="35AA05FA"/>
    <w:rsid w:val="38C20218"/>
    <w:rsid w:val="39B82E07"/>
    <w:rsid w:val="39E21DD2"/>
    <w:rsid w:val="3C9B6786"/>
    <w:rsid w:val="3CB42A51"/>
    <w:rsid w:val="3D9A620A"/>
    <w:rsid w:val="3DBF2F05"/>
    <w:rsid w:val="42B20A92"/>
    <w:rsid w:val="43133E9E"/>
    <w:rsid w:val="43D76177"/>
    <w:rsid w:val="43E401C6"/>
    <w:rsid w:val="444E7DFF"/>
    <w:rsid w:val="44554E4B"/>
    <w:rsid w:val="45235006"/>
    <w:rsid w:val="453D75E9"/>
    <w:rsid w:val="45585AA1"/>
    <w:rsid w:val="45E50EAE"/>
    <w:rsid w:val="46AE62C2"/>
    <w:rsid w:val="47EB49E3"/>
    <w:rsid w:val="47F76C91"/>
    <w:rsid w:val="49EE531F"/>
    <w:rsid w:val="4AD8186E"/>
    <w:rsid w:val="4FA030D2"/>
    <w:rsid w:val="5007118A"/>
    <w:rsid w:val="50DD18DC"/>
    <w:rsid w:val="50E60F81"/>
    <w:rsid w:val="50F435A0"/>
    <w:rsid w:val="50FB1E76"/>
    <w:rsid w:val="54687333"/>
    <w:rsid w:val="55AE5468"/>
    <w:rsid w:val="59FD2DF2"/>
    <w:rsid w:val="5AC933B6"/>
    <w:rsid w:val="5AF07812"/>
    <w:rsid w:val="5BE432C5"/>
    <w:rsid w:val="5CD3789B"/>
    <w:rsid w:val="5E7743A2"/>
    <w:rsid w:val="5F2815B3"/>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5B34A56"/>
    <w:rsid w:val="77D00A8D"/>
    <w:rsid w:val="7A51722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2026-03-17T02:04:22Z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80710559C11E41F8ABD08C8F784D5362_13</vt:lpwstr>
  </property>
</Properties>
</file>