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珠海华润银行润悦1号第203期理财产品说明书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珠海华润银行润悦1号第203期理财产品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润悦1号第203期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C1082922000018</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募集规模不超过6000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2022年05月06日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2022年08月12日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hint="default" w:ascii="微软雅黑" w:hAnsi="微软雅黑" w:eastAsia="微软雅黑"/>
                <w:szCs w:val="21"/>
                <w:u w:val="single"/>
                <w:lang w:val="en-US" w:eastAsia="zh-CN"/>
              </w:rPr>
            </w:pPr>
            <w:r>
              <w:rPr>
                <w:rFonts w:hint="eastAsia" w:ascii="微软雅黑" w:hAnsi="微软雅黑" w:eastAsia="微软雅黑"/>
                <w:szCs w:val="21"/>
              </w:rPr>
              <w:t>认购起点金额为5万元；超过认购起点部分，以1000元递增。</w:t>
            </w:r>
            <w:bookmarkStart w:id="2" w:name="_GoBack"/>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2022年04月27日9:00至2022年05月05日17:00，珠海华润银行有权提前结束认购并调整相关日期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3.90％（年化）。</w:t>
            </w:r>
            <w:r>
              <w:rPr>
                <w:rFonts w:hint="eastAsia" w:ascii="微软雅黑" w:hAnsi="微软雅黑" w:eastAsia="微软雅黑"/>
                <w:szCs w:val="21"/>
                <w:lang w:val="en-US" w:eastAsia="zh-CN"/>
              </w:rPr>
              <w:t>该</w:t>
            </w:r>
            <w:r>
              <w:rPr>
                <w:rFonts w:hint="eastAsia" w:ascii="微软雅黑" w:hAnsi="微软雅黑" w:eastAsia="微软雅黑"/>
                <w:szCs w:val="21"/>
                <w:lang w:eastAsia="zh-CN"/>
              </w:rPr>
              <w:t>业绩</w:t>
            </w:r>
            <w:r>
              <w:rPr>
                <w:rFonts w:hint="eastAsia" w:ascii="微软雅黑" w:hAnsi="微软雅黑" w:eastAsia="微软雅黑"/>
                <w:szCs w:val="21"/>
                <w:lang w:val="en-US" w:eastAsia="zh-CN"/>
              </w:rPr>
              <w:t>比较</w:t>
            </w:r>
            <w:r>
              <w:rPr>
                <w:rFonts w:hint="eastAsia" w:ascii="微软雅黑" w:hAnsi="微软雅黑" w:eastAsia="微软雅黑"/>
                <w:szCs w:val="21"/>
                <w:lang w:eastAsia="zh-CN"/>
              </w:rPr>
              <w:t>基准是珠海华润银行基于产品性质、投资策略、过往经验、未来市场预判等因素，并参照</w:t>
            </w:r>
            <w:r>
              <w:rPr>
                <w:rFonts w:hint="eastAsia" w:ascii="微软雅黑" w:hAnsi="微软雅黑" w:eastAsia="微软雅黑"/>
                <w:szCs w:val="21"/>
                <w:lang w:val="en-US" w:eastAsia="zh-CN"/>
              </w:rPr>
              <w:t>理财</w:t>
            </w:r>
            <w:r>
              <w:rPr>
                <w:rFonts w:hint="eastAsia" w:ascii="微软雅黑" w:hAnsi="微软雅黑" w:eastAsia="微软雅黑"/>
                <w:szCs w:val="21"/>
                <w:lang w:eastAsia="zh-CN"/>
              </w:rPr>
              <w:t>产品发行时市场利率水平和投资资产的综合表现对</w:t>
            </w:r>
            <w:r>
              <w:rPr>
                <w:rFonts w:hint="eastAsia" w:ascii="微软雅黑" w:hAnsi="微软雅黑" w:eastAsia="微软雅黑"/>
                <w:szCs w:val="21"/>
                <w:lang w:val="en-US" w:eastAsia="zh-CN"/>
              </w:rPr>
              <w:t>理财</w:t>
            </w:r>
            <w:r>
              <w:rPr>
                <w:rFonts w:hint="eastAsia" w:ascii="微软雅黑" w:hAnsi="微软雅黑" w:eastAsia="微软雅黑"/>
                <w:szCs w:val="21"/>
                <w:lang w:eastAsia="zh-CN"/>
              </w:rPr>
              <w:t>产品设定的投资目标，不代</w:t>
            </w:r>
            <w:r>
              <w:rPr>
                <w:rFonts w:hint="eastAsia" w:ascii="微软雅黑" w:hAnsi="微软雅黑" w:eastAsia="微软雅黑"/>
                <w:szCs w:val="21"/>
                <w:lang w:val="en-US" w:eastAsia="zh-CN"/>
              </w:rPr>
              <w:t>本理财</w:t>
            </w:r>
            <w:r>
              <w:rPr>
                <w:rFonts w:hint="eastAsia" w:ascii="微软雅黑" w:hAnsi="微软雅黑" w:eastAsia="微软雅黑"/>
                <w:szCs w:val="21"/>
                <w:lang w:eastAsia="zh-CN"/>
              </w:rPr>
              <w:t>产品的未来表现和实际收益，不构成对</w:t>
            </w:r>
            <w:r>
              <w:rPr>
                <w:rFonts w:hint="eastAsia" w:ascii="微软雅黑" w:hAnsi="微软雅黑" w:eastAsia="微软雅黑"/>
                <w:szCs w:val="21"/>
                <w:lang w:val="en-US" w:eastAsia="zh-CN"/>
              </w:rPr>
              <w:t>理财</w:t>
            </w:r>
            <w:r>
              <w:rPr>
                <w:rFonts w:hint="eastAsia" w:ascii="微软雅黑" w:hAnsi="微软雅黑" w:eastAsia="微软雅黑"/>
                <w:szCs w:val="21"/>
                <w:lang w:eastAsia="zh-CN"/>
              </w:rPr>
              <w:t>产品收益的承诺，仅作为计算浮动管理费的依据。</w:t>
            </w:r>
          </w:p>
          <w:p>
            <w:pPr>
              <w:spacing w:line="320" w:lineRule="exact"/>
              <w:rPr>
                <w:rFonts w:ascii="微软雅黑" w:hAnsi="微软雅黑" w:eastAsia="微软雅黑"/>
                <w:szCs w:val="21"/>
              </w:rPr>
            </w:pPr>
            <w:r>
              <w:rPr>
                <w:rFonts w:hint="eastAsia" w:ascii="微软雅黑" w:hAnsi="微软雅黑" w:eastAsia="微软雅黑"/>
                <w:szCs w:val="21"/>
                <w:lang w:eastAsia="zh-CN"/>
              </w:rPr>
              <w:t>本</w:t>
            </w:r>
            <w:r>
              <w:rPr>
                <w:rFonts w:hint="eastAsia" w:ascii="微软雅黑" w:hAnsi="微软雅黑" w:eastAsia="微软雅黑"/>
                <w:szCs w:val="21"/>
                <w:lang w:val="en-US" w:eastAsia="zh-CN"/>
              </w:rPr>
              <w:t>理财</w:t>
            </w:r>
            <w:r>
              <w:rPr>
                <w:rFonts w:hint="eastAsia" w:ascii="微软雅黑" w:hAnsi="微软雅黑" w:eastAsia="微软雅黑"/>
                <w:szCs w:val="21"/>
                <w:lang w:eastAsia="zh-CN"/>
              </w:rPr>
              <w:t>产品为净值型产品，业绩表现将随市场波动，具有不确定性。</w:t>
            </w:r>
            <w:r>
              <w:rPr>
                <w:rFonts w:hint="eastAsia" w:ascii="微软雅黑" w:hAnsi="微软雅黑" w:eastAsia="微软雅黑"/>
                <w:b/>
                <w:bCs/>
                <w:szCs w:val="21"/>
                <w:lang w:eastAsia="zh-CN"/>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bookmarkEnd w:id="0"/>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二、</w:t>
            </w:r>
            <w:r>
              <w:rPr>
                <w:rFonts w:hint="eastAsia" w:ascii="微软雅黑" w:hAnsi="微软雅黑" w:eastAsia="微软雅黑"/>
                <w:szCs w:val="21"/>
                <w:highlight w:val="none"/>
              </w:rPr>
              <w:t>其他费用</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）后，若本产品投资收益低于业绩比较基准（含），管理人不收取浮动投资管理费；若投资收益超过业绩比较基准，超过部分作为管理人的浮动投资管理费。计提频率为产品每一估值日。</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四</w:t>
            </w:r>
            <w:r>
              <w:rPr>
                <w:rFonts w:hint="eastAsia" w:ascii="微软雅黑" w:hAnsi="微软雅黑" w:eastAsia="微软雅黑"/>
                <w:szCs w:val="21"/>
                <w:highlight w:val="none"/>
              </w:rPr>
              <w:t>、固定投资管理费回拨</w:t>
            </w:r>
          </w:p>
          <w:p>
            <w:pPr>
              <w:spacing w:line="320" w:lineRule="exact"/>
            </w:pPr>
            <w:r>
              <w:rPr>
                <w:rFonts w:hint="eastAsia" w:ascii="微软雅黑" w:hAnsi="微软雅黑" w:eastAsia="微软雅黑"/>
                <w:szCs w:val="21"/>
                <w:highlight w:val="none"/>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hint="eastAsia" w:ascii="微软雅黑" w:hAnsi="微软雅黑" w:eastAsia="微软雅黑"/>
                <w:szCs w:val="21"/>
              </w:rPr>
            </w:pPr>
            <w:r>
              <w:rPr>
                <w:rFonts w:hint="eastAsia" w:ascii="微软雅黑" w:hAnsi="微软雅黑" w:eastAsia="微软雅黑"/>
                <w:szCs w:val="21"/>
                <w:highlight w:val="none"/>
              </w:rPr>
              <w:t>珠海华润银行有权对本理财产品的收费项目、收费条件、收费方式、费率等进行调整。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2022年05月06日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5万</w:t>
      </w:r>
      <w:r>
        <w:rPr>
          <w:rFonts w:ascii="微软雅黑" w:hAnsi="微软雅黑" w:eastAsia="微软雅黑"/>
          <w:szCs w:val="21"/>
        </w:rPr>
        <w:t>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2022年08月12日（以实际到期日为准）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ascii="微软雅黑" w:hAnsi="微软雅黑" w:eastAsia="微软雅黑"/>
          <w:szCs w:val="21"/>
          <w:highlight w:val="none"/>
        </w:rPr>
        <w:t>5.0%</w:t>
      </w:r>
      <w:r>
        <w:rPr>
          <w:rFonts w:hint="eastAsia" w:ascii="微软雅黑" w:hAnsi="微软雅黑" w:eastAsia="微软雅黑"/>
          <w:szCs w:val="21"/>
          <w:highlight w:val="none"/>
        </w:rPr>
        <w:t>，固定投资管理费0.10%/年。产品到期后，客户可获得总收益可能存在如下三种情景：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），投资收益超过业绩比较基准。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05420000，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此时，(1.05420000/1.00000000-1)×365/360=5.5%&gt;5.0%，即投资收益超过业绩比较基准。假设超过的部分作为管理人的浮动投资管理费，则浮动投资管理费为：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50,000.00×[1.05420000-1.00000000×(1+5.00%×360/365)]= 244.24（元）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扣除浮动投资管理费后，客户最终收益为：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50,000.00×（1.05420000-1.00000000）-244.24=2,465.76（元）。</w:t>
      </w:r>
    </w:p>
    <w:p>
      <w:pPr>
        <w:spacing w:line="320" w:lineRule="exact"/>
        <w:ind w:firstLine="420" w:firstLineChars="200"/>
        <w:rPr>
          <w:rFonts w:ascii="微软雅黑" w:hAnsi="微软雅黑" w:eastAsia="微软雅黑"/>
          <w:szCs w:val="21"/>
          <w:highlight w:val="none"/>
        </w:rPr>
      </w:pP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）后，投资收益未达到业绩比较基准，但珠海华润银行收取的固定投资管理费能够覆盖差额部分。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04850000，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04850000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=4.</w:t>
      </w:r>
      <w:r>
        <w:rPr>
          <w:rFonts w:hint="eastAsia" w:ascii="微软雅黑" w:hAnsi="微软雅黑" w:eastAsia="微软雅黑"/>
          <w:szCs w:val="21"/>
          <w:highlight w:val="none"/>
        </w:rPr>
        <w:t>92</w:t>
      </w:r>
      <w:r>
        <w:rPr>
          <w:rFonts w:ascii="微软雅黑" w:hAnsi="微软雅黑" w:eastAsia="微软雅黑"/>
          <w:szCs w:val="21"/>
          <w:highlight w:val="none"/>
        </w:rPr>
        <w:t>%&lt;5.</w:t>
      </w:r>
      <w:r>
        <w:rPr>
          <w:rFonts w:hint="eastAsia" w:ascii="微软雅黑" w:hAnsi="微软雅黑" w:eastAsia="微软雅黑"/>
          <w:szCs w:val="21"/>
          <w:highlight w:val="none"/>
        </w:rPr>
        <w:t>0</w:t>
      </w:r>
      <w:r>
        <w:rPr>
          <w:rFonts w:ascii="微软雅黑" w:hAnsi="微软雅黑" w:eastAsia="微软雅黑"/>
          <w:szCs w:val="21"/>
          <w:highlight w:val="none"/>
        </w:rPr>
        <w:t>0%</w:t>
      </w:r>
      <w:r>
        <w:rPr>
          <w:rFonts w:hint="eastAsia" w:ascii="微软雅黑" w:hAnsi="微软雅黑" w:eastAsia="微软雅黑"/>
          <w:szCs w:val="21"/>
          <w:highlight w:val="none"/>
        </w:rPr>
        <w:t>，即投资收益未达到业绩比较基准，此时，珠海华润银行不收取浮动投资管理费，同时将收取的固定投资管理费向客户回拨0.08%，使得客户收益达到业绩比较基准。</w:t>
      </w:r>
    </w:p>
    <w:p>
      <w:pPr>
        <w:spacing w:line="320" w:lineRule="exact"/>
        <w:ind w:firstLine="420" w:firstLineChars="200"/>
        <w:rPr>
          <w:rFonts w:ascii="微软雅黑" w:hAnsi="微软雅黑" w:eastAsia="微软雅黑"/>
          <w:szCs w:val="21"/>
          <w:highlight w:val="none"/>
        </w:rPr>
      </w:pP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情景三：扣除产品各项费用（包括不限于托管费、运营服务费、销售手续费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）后，投资收益未达到业绩比较基准，且以管理人收取的固定投资管理费为限进行回补不能够覆盖差额部分。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份。产品到期时，若客户持有的份额依然为50</w:t>
      </w:r>
      <w:r>
        <w:rPr>
          <w:rFonts w:ascii="微软雅黑" w:hAnsi="微软雅黑" w:eastAsia="微软雅黑"/>
          <w:szCs w:val="21"/>
          <w:highlight w:val="none"/>
        </w:rPr>
        <w:t>,000.00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）后，如产品净值为1.03120000，则管理人不收取浮动投资管理费，客户最终收益为：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此时，（1.03120000/1.000000000-1)×</w:t>
      </w:r>
      <w:r>
        <w:rPr>
          <w:rFonts w:ascii="微软雅黑" w:hAnsi="微软雅黑" w:eastAsia="微软雅黑"/>
          <w:szCs w:val="21"/>
          <w:highlight w:val="none"/>
        </w:rPr>
        <w:t>365/</w:t>
      </w:r>
      <w:r>
        <w:rPr>
          <w:rFonts w:hint="eastAsia" w:ascii="微软雅黑" w:hAnsi="微软雅黑" w:eastAsia="微软雅黑"/>
          <w:szCs w:val="21"/>
          <w:highlight w:val="none"/>
        </w:rPr>
        <w:t>360=3.16%&lt;5%，即投资收益未达到业绩比较基准，此时，珠海华润银行不收取浮动投资管理费，同时将收取的固定投资管理费向客户回拨0.10%。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）以收取合同现金流量为目的并持有到期为目的，按照企业会计准则要求，以摊余成本法估值；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）除上述（1）的情形外，原则上以公允价值计量，可选取第三方估值机构（中债、中证等）提供的估值价格、收盘价、或其他估值技术确定公允价值。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w:t>
    </w:r>
    <w:r>
      <w:rPr>
        <w:rFonts w:hint="eastAsia" w:ascii="微软雅黑" w:hAnsi="微软雅黑" w:eastAsia="微软雅黑"/>
        <w:b/>
        <w:lang w:val="en-US" w:eastAsia="zh-CN"/>
      </w:rPr>
      <w:t>3</w:t>
    </w:r>
    <w:r>
      <w:rPr>
        <w:rFonts w:hint="eastAsia" w:ascii="微软雅黑" w:hAnsi="微软雅黑" w:eastAsia="微软雅黑"/>
        <w:b/>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18E13C1"/>
    <w:rsid w:val="039B0E3B"/>
    <w:rsid w:val="05235D16"/>
    <w:rsid w:val="0543058E"/>
    <w:rsid w:val="0923509C"/>
    <w:rsid w:val="0A785E9B"/>
    <w:rsid w:val="0C156F3E"/>
    <w:rsid w:val="0C244CE7"/>
    <w:rsid w:val="0D004E3D"/>
    <w:rsid w:val="107C2FD5"/>
    <w:rsid w:val="112E4BAC"/>
    <w:rsid w:val="175405CF"/>
    <w:rsid w:val="1B0D6F46"/>
    <w:rsid w:val="1CC066DC"/>
    <w:rsid w:val="1E1976EB"/>
    <w:rsid w:val="208B4876"/>
    <w:rsid w:val="225124A7"/>
    <w:rsid w:val="228D6020"/>
    <w:rsid w:val="27F84452"/>
    <w:rsid w:val="2BC3014A"/>
    <w:rsid w:val="2FFD63EE"/>
    <w:rsid w:val="32CE41E8"/>
    <w:rsid w:val="3392467C"/>
    <w:rsid w:val="33AE2BE8"/>
    <w:rsid w:val="34963AB6"/>
    <w:rsid w:val="353D1B60"/>
    <w:rsid w:val="367F52CA"/>
    <w:rsid w:val="36EA2875"/>
    <w:rsid w:val="370F1A24"/>
    <w:rsid w:val="3ABC244E"/>
    <w:rsid w:val="3DA513D2"/>
    <w:rsid w:val="3E4A7A3F"/>
    <w:rsid w:val="3EDF5E20"/>
    <w:rsid w:val="426746F0"/>
    <w:rsid w:val="42F93D10"/>
    <w:rsid w:val="44251D0F"/>
    <w:rsid w:val="481F78B1"/>
    <w:rsid w:val="4A4235FD"/>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1</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魏玉安</cp:lastModifiedBy>
  <cp:lastPrinted>2020-04-09T06:43:00Z</cp:lastPrinted>
  <dcterms:modified xsi:type="dcterms:W3CDTF">2022-04-26T02:32:44Z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