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珠海华润银行润悦1号第176期理财产品说明书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珠海华润银行润悦1号第176期理财产品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润悦1号第176期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C1082921000120</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2022年01月26日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2022年05月06日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100天。实际产品期限受制于银行提前终止及产品到期条款，珠海华润银行可根据情况进行调整。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2022年01月19日9:00至2022年01月25日17:00，珠海华润银行有权提前结束认购并调整相关日期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3.90％（年化）。</w:t>
            </w:r>
            <w:r>
              <w:rPr>
                <w:rFonts w:hint="eastAsia" w:ascii="微软雅黑" w:hAnsi="微软雅黑" w:eastAsia="微软雅黑"/>
                <w:szCs w:val="21"/>
                <w:lang w:eastAsia="zh-CN"/>
              </w:rPr>
              <w:t>业绩基准是管理人基于产品性质、投资策略、过往经验、未来市场预判等因素，并参照产品发行时市场利率水平和投资资产的综合表现对产品设定的投资目标，不代表产品的未来表现和实际收益，不构成对产品收益的承诺，仅作为计算浮动管理费的依据。</w:t>
            </w:r>
          </w:p>
          <w:p>
            <w:pPr>
              <w:spacing w:line="320" w:lineRule="exact"/>
              <w:rPr>
                <w:rFonts w:ascii="微软雅黑" w:hAnsi="微软雅黑" w:eastAsia="微软雅黑"/>
                <w:szCs w:val="21"/>
              </w:rPr>
            </w:pPr>
            <w:r>
              <w:rPr>
                <w:rFonts w:hint="eastAsia" w:ascii="微软雅黑" w:hAnsi="微软雅黑" w:eastAsia="微软雅黑"/>
                <w:szCs w:val="21"/>
                <w:lang w:eastAsia="zh-CN"/>
              </w:rPr>
              <w:t>本产品为净值型产品，业绩表现将随市场波动，具有不确定性。</w:t>
            </w:r>
            <w:r>
              <w:rPr>
                <w:rFonts w:hint="eastAsia" w:ascii="微软雅黑" w:hAnsi="微软雅黑" w:eastAsia="微软雅黑"/>
                <w:b/>
                <w:bCs/>
                <w:szCs w:val="21"/>
                <w:lang w:eastAsia="zh-CN"/>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hint="eastAsia"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四、与本产品相关的其他费用</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包括但不限于开户费用、交易费用、审计费、律师费、信息披露费等相关费用，具体以实际发生为准。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直接或间接</w:t>
      </w:r>
      <w:r>
        <w:rPr>
          <w:rFonts w:hint="eastAsia" w:ascii="微软雅黑" w:hAnsi="微软雅黑" w:eastAsia="微软雅黑"/>
          <w:szCs w:val="21"/>
        </w:rPr>
        <w:t>投资于符合监管要求的</w:t>
      </w:r>
      <w:r>
        <w:rPr>
          <w:rFonts w:hint="eastAsia" w:ascii="微软雅黑" w:hAnsi="微软雅黑" w:eastAsia="微软雅黑"/>
          <w:szCs w:val="21"/>
          <w:lang w:eastAsia="zh-CN"/>
        </w:rPr>
        <w:t>以下金融资产和金融工具</w:t>
      </w:r>
      <w:r>
        <w:rPr>
          <w:rFonts w:hint="eastAsia" w:ascii="微软雅黑" w:hAnsi="微软雅黑" w:eastAsia="微软雅黑"/>
          <w:szCs w:val="21"/>
        </w:rPr>
        <w:t>，</w:t>
      </w:r>
      <w:r>
        <w:rPr>
          <w:rFonts w:hint="eastAsia" w:ascii="微软雅黑" w:hAnsi="微软雅黑" w:eastAsia="微软雅黑"/>
          <w:szCs w:val="21"/>
          <w:lang w:eastAsia="zh-CN"/>
        </w:rPr>
        <w:t>包括但不限于：</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固定收益类资产</w:t>
      </w:r>
      <w:r>
        <w:rPr>
          <w:rFonts w:hint="eastAsia" w:ascii="微软雅黑" w:hAnsi="微软雅黑" w:eastAsia="微软雅黑"/>
          <w:szCs w:val="21"/>
          <w:lang w:eastAsia="zh-CN"/>
        </w:rPr>
        <w:t>：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w:t>
      </w:r>
      <w:r>
        <w:rPr>
          <w:rFonts w:hint="eastAsia" w:ascii="微软雅黑" w:hAnsi="微软雅黑" w:eastAsia="微软雅黑"/>
          <w:szCs w:val="21"/>
          <w:lang w:val="en-US" w:eastAsia="zh-CN"/>
        </w:rPr>
        <w:t>PPN）、二级资本债、债券型基金等标准化债权资产；信托贷款（含可续期信托贷款）、应收账款、收益权转让、承兑汇票、信用证、收益凭证、可续期贷款/永续债权投资资产、股权收益权转让及受让等非标准化债权资产</w:t>
      </w:r>
      <w:r>
        <w:rPr>
          <w:rFonts w:hint="eastAsia" w:ascii="微软雅黑" w:hAnsi="微软雅黑" w:eastAsia="微软雅黑"/>
          <w:szCs w:val="21"/>
          <w:lang w:eastAsia="zh-CN"/>
        </w:rPr>
        <w:t>；以及监管部门认可的其他金融投资工具</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如存在法律法规或监管机构以后允许投资的其他品种，管理人在履行适当程序后，可以将其纳入投资范围。</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val="en-US" w:eastAsia="zh-CN"/>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eastAsia="zh-CN"/>
              </w:rPr>
              <w:t>其他资产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2022年01月26日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2022年05月06日（以实际到期日为准）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hint="eastAsia" w:ascii="微软雅黑" w:hAnsi="微软雅黑" w:eastAsia="微软雅黑"/>
          <w:szCs w:val="21"/>
          <w:lang w:val="en-US"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存续期内每周三以及理财产品终止日前一自然日为估值日，如周三为非工作日，则估值日顺延至下一个工作日。管理人于估值日后</w:t>
      </w:r>
      <w:r>
        <w:rPr>
          <w:rFonts w:hint="eastAsia" w:ascii="微软雅黑" w:hAnsi="微软雅黑" w:eastAsia="微软雅黑"/>
          <w:szCs w:val="21"/>
          <w:lang w:val="en-US" w:eastAsia="zh-CN"/>
        </w:rPr>
        <w:t>3个工作日内公布该估值。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存款、拆借、回购等</w:t>
      </w:r>
      <w:r>
        <w:rPr>
          <w:rFonts w:hint="eastAsia" w:ascii="微软雅黑" w:hAnsi="微软雅黑" w:eastAsia="微软雅黑"/>
          <w:szCs w:val="21"/>
        </w:rPr>
        <w:t>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lang w:eastAsia="zh-CN"/>
        </w:rPr>
        <w:t>本理财产品直接持有</w:t>
      </w:r>
      <w:r>
        <w:rPr>
          <w:rFonts w:hint="eastAsia" w:ascii="微软雅黑" w:hAnsi="微软雅黑" w:eastAsia="微软雅黑"/>
          <w:szCs w:val="21"/>
        </w:rPr>
        <w:t>的</w:t>
      </w:r>
      <w:r>
        <w:rPr>
          <w:rFonts w:hint="eastAsia" w:ascii="微软雅黑" w:hAnsi="微软雅黑" w:eastAsia="微软雅黑"/>
          <w:szCs w:val="21"/>
          <w:lang w:eastAsia="zh-CN"/>
        </w:rPr>
        <w:t>标准化债权类资产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w:t>
      </w:r>
      <w:r>
        <w:rPr>
          <w:rFonts w:hint="eastAsia" w:ascii="微软雅黑" w:hAnsi="微软雅黑" w:eastAsia="微软雅黑"/>
          <w:szCs w:val="21"/>
          <w:lang w:eastAsia="zh-CN"/>
        </w:rPr>
        <w:t>收取合同现金流量为目的并</w:t>
      </w:r>
      <w:r>
        <w:rPr>
          <w:rFonts w:hint="eastAsia" w:ascii="微软雅黑" w:hAnsi="微软雅黑" w:eastAsia="微软雅黑"/>
          <w:szCs w:val="21"/>
        </w:rPr>
        <w:t>持有到期为目的</w:t>
      </w:r>
      <w:r>
        <w:rPr>
          <w:rFonts w:hint="eastAsia" w:ascii="微软雅黑" w:hAnsi="微软雅黑" w:eastAsia="微软雅黑"/>
          <w:szCs w:val="21"/>
          <w:lang w:eastAsia="zh-CN"/>
        </w:rPr>
        <w:t>，按照企业会计准则要求，以</w:t>
      </w:r>
      <w:r>
        <w:rPr>
          <w:rFonts w:hint="eastAsia" w:ascii="微软雅黑" w:hAnsi="微软雅黑" w:eastAsia="微软雅黑"/>
          <w:szCs w:val="21"/>
        </w:rPr>
        <w:t>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除上述（</w:t>
      </w:r>
      <w:r>
        <w:rPr>
          <w:rFonts w:hint="eastAsia" w:ascii="微软雅黑" w:hAnsi="微软雅黑" w:eastAsia="微软雅黑"/>
          <w:szCs w:val="21"/>
          <w:lang w:val="en-US" w:eastAsia="zh-CN"/>
        </w:rPr>
        <w:t>1）的情形外，原则上以公允价值计量，</w:t>
      </w:r>
      <w:r>
        <w:rPr>
          <w:rFonts w:hint="eastAsia" w:ascii="微软雅黑" w:hAnsi="微软雅黑" w:eastAsia="微软雅黑"/>
          <w:szCs w:val="21"/>
          <w:lang w:eastAsia="zh-CN"/>
        </w:rPr>
        <w:t>可选取第三方估值机构（中债、中证等）提供的估值价格、收盘价、或其他估值技术确定公允价值</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lang w:eastAsia="zh-CN"/>
        </w:rPr>
        <w:t>本理财产品投资于信托计划、资产管理计划等的资产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按合同约定的估值方案，以信托计划的受托人、资产管理计划的管理人等和资产托管人共同确认的净值或投资收益情况进行估值</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对于无活跃交易的非标准化债权</w:t>
      </w:r>
      <w:r>
        <w:rPr>
          <w:rFonts w:hint="eastAsia" w:ascii="微软雅黑" w:hAnsi="微软雅黑" w:eastAsia="微软雅黑"/>
          <w:b w:val="0"/>
          <w:bCs w:val="0"/>
          <w:szCs w:val="21"/>
          <w:lang w:eastAsia="zh-CN"/>
        </w:rPr>
        <w:t>资产等，通过估值技术确定其公允价值。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w:t>
      </w:r>
      <w:r>
        <w:rPr>
          <w:rFonts w:hint="eastAsia" w:ascii="微软雅黑" w:hAnsi="微软雅黑" w:eastAsia="微软雅黑"/>
          <w:szCs w:val="21"/>
          <w:lang w:eastAsia="zh-CN"/>
        </w:rPr>
        <w:t>估值技术确定</w:t>
      </w:r>
      <w:r>
        <w:rPr>
          <w:rFonts w:hint="eastAsia" w:ascii="微软雅黑" w:hAnsi="微软雅黑" w:eastAsia="微软雅黑"/>
          <w:szCs w:val="21"/>
        </w:rPr>
        <w:t>。</w:t>
      </w:r>
    </w:p>
    <w:p>
      <w:pPr>
        <w:numPr>
          <w:ilvl w:val="0"/>
          <w:numId w:val="0"/>
        </w:numPr>
        <w:spacing w:line="320" w:lineRule="exact"/>
        <w:ind w:firstLine="210" w:firstLineChars="100"/>
        <w:rPr>
          <w:rFonts w:hint="eastAsia" w:ascii="微软雅黑" w:hAnsi="微软雅黑" w:eastAsia="微软雅黑"/>
          <w:szCs w:val="21"/>
        </w:rPr>
      </w:pPr>
      <w:r>
        <w:rPr>
          <w:rFonts w:hint="eastAsia" w:ascii="微软雅黑" w:hAnsi="微软雅黑" w:eastAsia="微软雅黑"/>
          <w:szCs w:val="21"/>
        </w:rPr>
        <w:t>5.国家有最新规定的，按其规定进行估值。</w:t>
      </w:r>
    </w:p>
    <w:p>
      <w:pPr>
        <w:numPr>
          <w:ilvl w:val="0"/>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w:t>
    </w:r>
    <w:r>
      <w:rPr>
        <w:rFonts w:hint="eastAsia" w:ascii="微软雅黑" w:hAnsi="微软雅黑" w:eastAsia="微软雅黑"/>
        <w:b/>
        <w:lang w:val="en-US" w:eastAsia="zh-CN"/>
      </w:rPr>
      <w:t>3</w:t>
    </w:r>
    <w:r>
      <w:rPr>
        <w:rFonts w:hint="eastAsia" w:ascii="微软雅黑" w:hAnsi="微软雅黑" w:eastAsia="微软雅黑"/>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39B0E3B"/>
    <w:rsid w:val="03BE2007"/>
    <w:rsid w:val="0543058E"/>
    <w:rsid w:val="0923509C"/>
    <w:rsid w:val="0A785E9B"/>
    <w:rsid w:val="0C156F3E"/>
    <w:rsid w:val="0C244CE7"/>
    <w:rsid w:val="0D004E3D"/>
    <w:rsid w:val="107C2FD5"/>
    <w:rsid w:val="112E4BAC"/>
    <w:rsid w:val="1B0D6F46"/>
    <w:rsid w:val="1CC066DC"/>
    <w:rsid w:val="1E1976EB"/>
    <w:rsid w:val="208B4876"/>
    <w:rsid w:val="225124A7"/>
    <w:rsid w:val="22783080"/>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2F93D1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2022-01-19T02:52:02Z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