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D7E" w:rsidRDefault="00392D7E">
      <w:pPr>
        <w:spacing w:line="320" w:lineRule="exact"/>
        <w:rPr>
          <w:rFonts w:ascii="微软雅黑" w:eastAsia="微软雅黑" w:hAnsi="微软雅黑"/>
          <w:b/>
          <w:sz w:val="28"/>
          <w:szCs w:val="28"/>
        </w:rPr>
      </w:pPr>
    </w:p>
    <w:p w:rsidR="00392D7E" w:rsidRDefault="00D24908">
      <w:pPr>
        <w:spacing w:line="320" w:lineRule="exact"/>
        <w:jc w:val="center"/>
        <w:rPr>
          <w:rFonts w:ascii="微软雅黑" w:eastAsia="微软雅黑" w:hAnsi="微软雅黑"/>
          <w:b/>
          <w:sz w:val="28"/>
          <w:szCs w:val="28"/>
        </w:rPr>
      </w:pPr>
      <w:proofErr w:type="gramStart"/>
      <w:r>
        <w:rPr>
          <w:rFonts w:ascii="微软雅黑" w:eastAsia="微软雅黑" w:hAnsi="微软雅黑" w:hint="eastAsia"/>
          <w:b/>
          <w:sz w:val="28"/>
          <w:szCs w:val="28"/>
        </w:rPr>
        <w:t>珠海华润银行润悦</w:t>
      </w:r>
      <w:r>
        <w:rPr>
          <w:rFonts w:ascii="微软雅黑" w:eastAsia="微软雅黑" w:hAnsi="微软雅黑" w:hint="eastAsia"/>
          <w:b/>
          <w:sz w:val="28"/>
          <w:szCs w:val="28"/>
        </w:rPr>
        <w:t>1</w:t>
      </w:r>
      <w:r>
        <w:rPr>
          <w:rFonts w:ascii="微软雅黑" w:eastAsia="微软雅黑" w:hAnsi="微软雅黑" w:hint="eastAsia"/>
          <w:b/>
          <w:sz w:val="28"/>
          <w:szCs w:val="28"/>
        </w:rPr>
        <w:t>号</w:t>
      </w:r>
      <w:proofErr w:type="gramEnd"/>
      <w:r>
        <w:rPr>
          <w:rFonts w:ascii="微软雅黑" w:eastAsia="微软雅黑" w:hAnsi="微软雅黑" w:hint="eastAsia"/>
          <w:b/>
          <w:sz w:val="28"/>
          <w:szCs w:val="28"/>
        </w:rPr>
        <w:t>第</w:t>
      </w:r>
      <w:r>
        <w:rPr>
          <w:rFonts w:ascii="微软雅黑" w:eastAsia="微软雅黑" w:hAnsi="微软雅黑" w:hint="eastAsia"/>
          <w:b/>
          <w:sz w:val="28"/>
          <w:szCs w:val="28"/>
        </w:rPr>
        <w:t>147</w:t>
      </w:r>
      <w:r>
        <w:rPr>
          <w:rFonts w:ascii="微软雅黑" w:eastAsia="微软雅黑" w:hAnsi="微软雅黑" w:hint="eastAsia"/>
          <w:b/>
          <w:sz w:val="28"/>
          <w:szCs w:val="28"/>
        </w:rPr>
        <w:t>期理财产品说明书</w:t>
      </w:r>
    </w:p>
    <w:p w:rsidR="00392D7E" w:rsidRDefault="00392D7E">
      <w:pPr>
        <w:spacing w:line="320" w:lineRule="exact"/>
        <w:rPr>
          <w:rFonts w:ascii="微软雅黑" w:eastAsia="微软雅黑" w:hAnsi="微软雅黑"/>
          <w:szCs w:val="21"/>
        </w:rPr>
      </w:pPr>
    </w:p>
    <w:p w:rsidR="00392D7E" w:rsidRDefault="00D24908">
      <w:pPr>
        <w:spacing w:line="320" w:lineRule="exact"/>
        <w:rPr>
          <w:rFonts w:ascii="微软雅黑" w:eastAsia="微软雅黑" w:hAnsi="微软雅黑"/>
          <w:b/>
          <w:szCs w:val="21"/>
        </w:rPr>
      </w:pPr>
      <w:r>
        <w:rPr>
          <w:rFonts w:ascii="微软雅黑" w:eastAsia="微软雅黑" w:hAnsi="微软雅黑" w:hint="eastAsia"/>
          <w:b/>
          <w:szCs w:val="21"/>
        </w:rPr>
        <w:t>一、产品概述</w:t>
      </w:r>
      <w:r>
        <w:rPr>
          <w:rFonts w:ascii="微软雅黑" w:eastAsia="微软雅黑" w:hAnsi="微软雅黑" w:hint="eastAsia"/>
          <w:b/>
          <w:szCs w:val="21"/>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200"/>
      </w:tblGrid>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产品名称</w:t>
            </w:r>
          </w:p>
        </w:tc>
        <w:tc>
          <w:tcPr>
            <w:tcW w:w="7200" w:type="dxa"/>
          </w:tcPr>
          <w:p w:rsidR="00392D7E" w:rsidRDefault="00D24908">
            <w:pPr>
              <w:spacing w:line="320" w:lineRule="exact"/>
              <w:rPr>
                <w:rFonts w:ascii="微软雅黑" w:eastAsia="微软雅黑" w:hAnsi="微软雅黑"/>
                <w:b/>
                <w:szCs w:val="21"/>
              </w:rPr>
            </w:pPr>
            <w:proofErr w:type="gramStart"/>
            <w:r>
              <w:rPr>
                <w:rFonts w:ascii="微软雅黑" w:eastAsia="微软雅黑" w:hAnsi="微软雅黑" w:hint="eastAsia"/>
                <w:szCs w:val="21"/>
              </w:rPr>
              <w:t>珠海华润银行润悦</w:t>
            </w:r>
            <w:r>
              <w:rPr>
                <w:rFonts w:ascii="微软雅黑" w:eastAsia="微软雅黑" w:hAnsi="微软雅黑" w:hint="eastAsia"/>
                <w:szCs w:val="21"/>
              </w:rPr>
              <w:t>1</w:t>
            </w:r>
            <w:r>
              <w:rPr>
                <w:rFonts w:ascii="微软雅黑" w:eastAsia="微软雅黑" w:hAnsi="微软雅黑" w:hint="eastAsia"/>
                <w:szCs w:val="21"/>
              </w:rPr>
              <w:t>号</w:t>
            </w:r>
            <w:proofErr w:type="gramEnd"/>
            <w:r>
              <w:rPr>
                <w:rFonts w:ascii="微软雅黑" w:eastAsia="微软雅黑" w:hAnsi="微软雅黑" w:hint="eastAsia"/>
                <w:szCs w:val="21"/>
              </w:rPr>
              <w:t>第</w:t>
            </w:r>
            <w:r>
              <w:rPr>
                <w:rFonts w:ascii="微软雅黑" w:eastAsia="微软雅黑" w:hAnsi="微软雅黑" w:hint="eastAsia"/>
                <w:szCs w:val="21"/>
              </w:rPr>
              <w:t>147</w:t>
            </w:r>
            <w:r>
              <w:rPr>
                <w:rFonts w:ascii="微软雅黑" w:eastAsia="微软雅黑" w:hAnsi="微软雅黑" w:hint="eastAsia"/>
                <w:szCs w:val="21"/>
              </w:rPr>
              <w:t>期理财产品</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产品简称</w:t>
            </w:r>
          </w:p>
        </w:tc>
        <w:tc>
          <w:tcPr>
            <w:tcW w:w="7200" w:type="dxa"/>
          </w:tcPr>
          <w:p w:rsidR="00392D7E" w:rsidRDefault="00D24908">
            <w:pPr>
              <w:spacing w:line="320" w:lineRule="exact"/>
              <w:rPr>
                <w:rFonts w:ascii="微软雅黑" w:eastAsia="微软雅黑" w:hAnsi="微软雅黑"/>
                <w:szCs w:val="21"/>
              </w:rPr>
            </w:pPr>
            <w:proofErr w:type="gramStart"/>
            <w:r>
              <w:rPr>
                <w:rFonts w:ascii="微软雅黑" w:eastAsia="微软雅黑" w:hAnsi="微软雅黑" w:hint="eastAsia"/>
                <w:szCs w:val="21"/>
              </w:rPr>
              <w:t>润悦</w:t>
            </w:r>
            <w:r>
              <w:rPr>
                <w:rFonts w:ascii="微软雅黑" w:eastAsia="微软雅黑" w:hAnsi="微软雅黑" w:hint="eastAsia"/>
                <w:szCs w:val="21"/>
              </w:rPr>
              <w:t>1</w:t>
            </w:r>
            <w:r>
              <w:rPr>
                <w:rFonts w:ascii="微软雅黑" w:eastAsia="微软雅黑" w:hAnsi="微软雅黑" w:hint="eastAsia"/>
                <w:szCs w:val="21"/>
              </w:rPr>
              <w:t>号</w:t>
            </w:r>
            <w:proofErr w:type="gramEnd"/>
            <w:r>
              <w:rPr>
                <w:rFonts w:ascii="微软雅黑" w:eastAsia="微软雅黑" w:hAnsi="微软雅黑" w:hint="eastAsia"/>
                <w:szCs w:val="21"/>
              </w:rPr>
              <w:t>第</w:t>
            </w:r>
            <w:r>
              <w:rPr>
                <w:rFonts w:ascii="微软雅黑" w:eastAsia="微软雅黑" w:hAnsi="微软雅黑" w:hint="eastAsia"/>
                <w:szCs w:val="21"/>
              </w:rPr>
              <w:t>147</w:t>
            </w:r>
            <w:r>
              <w:rPr>
                <w:rFonts w:ascii="微软雅黑" w:eastAsia="微软雅黑" w:hAnsi="微软雅黑" w:hint="eastAsia"/>
                <w:szCs w:val="21"/>
              </w:rPr>
              <w:t>期</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产品代码</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RY10147</w:t>
            </w:r>
          </w:p>
        </w:tc>
      </w:tr>
      <w:tr w:rsidR="00392D7E">
        <w:trPr>
          <w:jc w:val="center"/>
        </w:trPr>
        <w:tc>
          <w:tcPr>
            <w:tcW w:w="2014" w:type="dxa"/>
            <w:vAlign w:val="center"/>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理财信息登记系统登记编码</w:t>
            </w:r>
          </w:p>
        </w:tc>
        <w:tc>
          <w:tcPr>
            <w:tcW w:w="7200" w:type="dxa"/>
            <w:vAlign w:val="center"/>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C1082921000091</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客户可根据该登记编码在“中国理财网（</w:t>
            </w:r>
            <w:r>
              <w:rPr>
                <w:rFonts w:ascii="微软雅黑" w:eastAsia="微软雅黑" w:hAnsi="微软雅黑"/>
                <w:szCs w:val="21"/>
              </w:rPr>
              <w:t>www.chinawealth.com.cn</w:t>
            </w:r>
            <w:r>
              <w:rPr>
                <w:rFonts w:ascii="微软雅黑" w:eastAsia="微软雅黑" w:hAnsi="微软雅黑" w:hint="eastAsia"/>
                <w:szCs w:val="21"/>
              </w:rPr>
              <w:t>）”查询该产品信息。</w:t>
            </w:r>
          </w:p>
        </w:tc>
      </w:tr>
      <w:tr w:rsidR="00392D7E">
        <w:trPr>
          <w:trHeight w:val="260"/>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投资及收益币种</w:t>
            </w:r>
            <w:r>
              <w:rPr>
                <w:rFonts w:ascii="微软雅黑" w:eastAsia="微软雅黑" w:hAnsi="微软雅黑" w:hint="eastAsia"/>
                <w:szCs w:val="21"/>
              </w:rPr>
              <w:t xml:space="preserve">   </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人民币</w:t>
            </w:r>
          </w:p>
        </w:tc>
      </w:tr>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产品类型</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封闭式、固定收益类净值型产品</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收益类型</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非保本浮动收益型</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发行方式</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公募</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投资及收益币种</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人民币</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产品风险评级</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szCs w:val="21"/>
              </w:rPr>
              <w:t>R2</w:t>
            </w:r>
            <w:r>
              <w:rPr>
                <w:rFonts w:ascii="微软雅黑" w:eastAsia="微软雅黑" w:hAnsi="微软雅黑"/>
                <w:szCs w:val="21"/>
              </w:rPr>
              <w:t>级</w:t>
            </w:r>
            <w:r>
              <w:rPr>
                <w:rFonts w:ascii="微软雅黑" w:eastAsia="微软雅黑" w:hAnsi="微软雅黑" w:hint="eastAsia"/>
                <w:szCs w:val="21"/>
              </w:rPr>
              <w:t>（</w:t>
            </w:r>
            <w:proofErr w:type="gramStart"/>
            <w:r>
              <w:rPr>
                <w:rFonts w:ascii="微软雅黑" w:eastAsia="微软雅黑" w:hAnsi="微软雅黑" w:hint="eastAsia"/>
                <w:szCs w:val="21"/>
              </w:rPr>
              <w:t>本风险</w:t>
            </w:r>
            <w:proofErr w:type="gramEnd"/>
            <w:r>
              <w:rPr>
                <w:rFonts w:ascii="微软雅黑" w:eastAsia="微软雅黑" w:hAnsi="微软雅黑" w:hint="eastAsia"/>
                <w:szCs w:val="21"/>
              </w:rPr>
              <w:t>评级为珠海华润银行内部测评结果，仅供客户参考）</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适合客户</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机构客户和经珠海华润银行（含珠海华润银行认可的其他销售服务机构）评估，评定为稳健型、平衡型、成长型、进取型的个人客户。</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销售渠道</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bCs/>
                <w:szCs w:val="21"/>
              </w:rPr>
              <w:t>珠海华润银行各营业网点或电子销售渠道或经珠海华润银行认可的其他销售服务机构。</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产品规模</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募集规模不超过</w:t>
            </w:r>
            <w:r>
              <w:rPr>
                <w:rFonts w:ascii="微软雅黑" w:eastAsia="微软雅黑" w:hAnsi="微软雅黑" w:hint="eastAsia"/>
                <w:szCs w:val="21"/>
              </w:rPr>
              <w:t>20000</w:t>
            </w:r>
            <w:r>
              <w:rPr>
                <w:rFonts w:ascii="微软雅黑" w:eastAsia="微软雅黑" w:hAnsi="微软雅黑" w:hint="eastAsia"/>
                <w:szCs w:val="21"/>
              </w:rPr>
              <w:t>万</w:t>
            </w:r>
            <w:r>
              <w:rPr>
                <w:rFonts w:ascii="微软雅黑" w:eastAsia="微软雅黑" w:hAnsi="微软雅黑"/>
                <w:szCs w:val="21"/>
              </w:rPr>
              <w:t>元。</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珠海华润银行有权根据实际需要对产品规模进行调整，产品最终募集规模以银行实际募集的金额为准。</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成立日</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u w:val="single"/>
              </w:rPr>
              <w:t>2021</w:t>
            </w:r>
            <w:r>
              <w:rPr>
                <w:rFonts w:ascii="微软雅黑" w:eastAsia="微软雅黑" w:hAnsi="微软雅黑" w:hint="eastAsia"/>
                <w:szCs w:val="21"/>
                <w:u w:val="single"/>
              </w:rPr>
              <w:t>年</w:t>
            </w:r>
            <w:r>
              <w:rPr>
                <w:rFonts w:ascii="微软雅黑" w:eastAsia="微软雅黑" w:hAnsi="微软雅黑" w:hint="eastAsia"/>
                <w:szCs w:val="21"/>
                <w:u w:val="single"/>
              </w:rPr>
              <w:t>11</w:t>
            </w:r>
            <w:r>
              <w:rPr>
                <w:rFonts w:ascii="微软雅黑" w:eastAsia="微软雅黑" w:hAnsi="微软雅黑" w:hint="eastAsia"/>
                <w:szCs w:val="21"/>
                <w:u w:val="single"/>
              </w:rPr>
              <w:t>月</w:t>
            </w:r>
            <w:r>
              <w:rPr>
                <w:rFonts w:ascii="微软雅黑" w:eastAsia="微软雅黑" w:hAnsi="微软雅黑" w:hint="eastAsia"/>
                <w:szCs w:val="21"/>
                <w:u w:val="single"/>
              </w:rPr>
              <w:t>10</w:t>
            </w:r>
            <w:r>
              <w:rPr>
                <w:rFonts w:ascii="微软雅黑" w:eastAsia="微软雅黑" w:hAnsi="微软雅黑" w:hint="eastAsia"/>
                <w:szCs w:val="21"/>
                <w:u w:val="single"/>
              </w:rPr>
              <w:t>日</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到期日</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u w:val="single"/>
              </w:rPr>
              <w:t>2023</w:t>
            </w:r>
            <w:r>
              <w:rPr>
                <w:rFonts w:ascii="微软雅黑" w:eastAsia="微软雅黑" w:hAnsi="微软雅黑" w:hint="eastAsia"/>
                <w:szCs w:val="21"/>
                <w:u w:val="single"/>
              </w:rPr>
              <w:t>年</w:t>
            </w:r>
            <w:r>
              <w:rPr>
                <w:rFonts w:ascii="微软雅黑" w:eastAsia="微软雅黑" w:hAnsi="微软雅黑" w:hint="eastAsia"/>
                <w:szCs w:val="21"/>
                <w:u w:val="single"/>
              </w:rPr>
              <w:t>01</w:t>
            </w:r>
            <w:r>
              <w:rPr>
                <w:rFonts w:ascii="微软雅黑" w:eastAsia="微软雅黑" w:hAnsi="微软雅黑" w:hint="eastAsia"/>
                <w:szCs w:val="21"/>
                <w:u w:val="single"/>
              </w:rPr>
              <w:t>月</w:t>
            </w:r>
            <w:r>
              <w:rPr>
                <w:rFonts w:ascii="微软雅黑" w:eastAsia="微软雅黑" w:hAnsi="微软雅黑" w:hint="eastAsia"/>
                <w:szCs w:val="21"/>
                <w:u w:val="single"/>
              </w:rPr>
              <w:t>10</w:t>
            </w:r>
            <w:r>
              <w:rPr>
                <w:rFonts w:ascii="微软雅黑" w:eastAsia="微软雅黑" w:hAnsi="微软雅黑" w:hint="eastAsia"/>
                <w:szCs w:val="21"/>
                <w:u w:val="single"/>
              </w:rPr>
              <w:t>日</w:t>
            </w:r>
            <w:r>
              <w:rPr>
                <w:rFonts w:ascii="微软雅黑" w:eastAsia="微软雅黑" w:hAnsi="微软雅黑" w:hint="eastAsia"/>
                <w:szCs w:val="21"/>
              </w:rPr>
              <w:t>（以产品实际到期日为准）</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期限</w:t>
            </w:r>
          </w:p>
        </w:tc>
        <w:tc>
          <w:tcPr>
            <w:tcW w:w="7200" w:type="dxa"/>
          </w:tcPr>
          <w:p w:rsidR="00392D7E" w:rsidRDefault="00D24908">
            <w:pPr>
              <w:spacing w:line="320" w:lineRule="exact"/>
              <w:rPr>
                <w:rFonts w:ascii="微软雅黑" w:eastAsia="微软雅黑" w:hAnsi="微软雅黑"/>
                <w:szCs w:val="21"/>
                <w:u w:val="single"/>
              </w:rPr>
            </w:pPr>
            <w:r>
              <w:rPr>
                <w:rFonts w:ascii="微软雅黑" w:eastAsia="微软雅黑" w:hAnsi="微软雅黑" w:hint="eastAsia"/>
                <w:szCs w:val="21"/>
              </w:rPr>
              <w:t>426</w:t>
            </w:r>
            <w:r>
              <w:rPr>
                <w:rFonts w:ascii="微软雅黑" w:eastAsia="微软雅黑" w:hAnsi="微软雅黑" w:hint="eastAsia"/>
                <w:szCs w:val="21"/>
              </w:rPr>
              <w:t>天。实际产品期限受制于银行提前终止及产品到期条款，珠海华润银行可根据情况进行调整。</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存续期</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产品成立日（含）</w:t>
            </w:r>
            <w:proofErr w:type="gramStart"/>
            <w:r>
              <w:rPr>
                <w:rFonts w:ascii="微软雅黑" w:eastAsia="微软雅黑" w:hAnsi="微软雅黑" w:hint="eastAsia"/>
                <w:szCs w:val="21"/>
              </w:rPr>
              <w:t>至产品</w:t>
            </w:r>
            <w:proofErr w:type="gramEnd"/>
            <w:r>
              <w:rPr>
                <w:rFonts w:ascii="微软雅黑" w:eastAsia="微软雅黑" w:hAnsi="微软雅黑" w:hint="eastAsia"/>
                <w:szCs w:val="21"/>
              </w:rPr>
              <w:t>到期日（不含）</w:t>
            </w:r>
          </w:p>
        </w:tc>
      </w:tr>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认购起点金额</w:t>
            </w:r>
          </w:p>
        </w:tc>
        <w:tc>
          <w:tcPr>
            <w:tcW w:w="7200" w:type="dxa"/>
          </w:tcPr>
          <w:p w:rsidR="00392D7E" w:rsidRDefault="00D24908">
            <w:pPr>
              <w:spacing w:line="320" w:lineRule="exact"/>
              <w:rPr>
                <w:rFonts w:ascii="微软雅黑" w:eastAsia="微软雅黑" w:hAnsi="微软雅黑"/>
                <w:szCs w:val="21"/>
                <w:u w:val="single"/>
              </w:rPr>
            </w:pPr>
            <w:r>
              <w:rPr>
                <w:rFonts w:ascii="微软雅黑" w:eastAsia="微软雅黑" w:hAnsi="微软雅黑" w:hint="eastAsia"/>
                <w:szCs w:val="21"/>
              </w:rPr>
              <w:t>认购起点金额为</w:t>
            </w:r>
            <w:r>
              <w:rPr>
                <w:rFonts w:ascii="微软雅黑" w:eastAsia="微软雅黑" w:hAnsi="微软雅黑" w:hint="eastAsia"/>
                <w:szCs w:val="21"/>
              </w:rPr>
              <w:t>1</w:t>
            </w:r>
            <w:r>
              <w:rPr>
                <w:rFonts w:ascii="微软雅黑" w:eastAsia="微软雅黑" w:hAnsi="微软雅黑" w:hint="eastAsia"/>
                <w:szCs w:val="21"/>
              </w:rPr>
              <w:t>万元；超过认购起点部分，以</w:t>
            </w:r>
            <w:r>
              <w:rPr>
                <w:rFonts w:ascii="微软雅黑" w:eastAsia="微软雅黑" w:hAnsi="微软雅黑" w:hint="eastAsia"/>
                <w:szCs w:val="21"/>
              </w:rPr>
              <w:t>1000</w:t>
            </w:r>
            <w:r>
              <w:rPr>
                <w:rFonts w:ascii="微软雅黑" w:eastAsia="微软雅黑" w:hAnsi="微软雅黑" w:hint="eastAsia"/>
                <w:szCs w:val="21"/>
              </w:rPr>
              <w:t>元递增。</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单笔认购上限</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珠海华润银行有权根据产品投资情况对单笔认购上限进行约定及调整。</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认购期</w:t>
            </w:r>
          </w:p>
          <w:p w:rsidR="00392D7E" w:rsidRDefault="00392D7E">
            <w:pPr>
              <w:spacing w:line="320" w:lineRule="exact"/>
              <w:rPr>
                <w:rFonts w:ascii="微软雅黑" w:eastAsia="微软雅黑" w:hAnsi="微软雅黑"/>
                <w:b/>
                <w:szCs w:val="21"/>
              </w:rPr>
            </w:pPr>
          </w:p>
        </w:tc>
        <w:tc>
          <w:tcPr>
            <w:tcW w:w="7200"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2021</w:t>
            </w:r>
            <w:r>
              <w:rPr>
                <w:rFonts w:ascii="微软雅黑" w:eastAsia="微软雅黑" w:hAnsi="微软雅黑" w:hint="eastAsia"/>
                <w:szCs w:val="21"/>
              </w:rPr>
              <w:t>年</w:t>
            </w:r>
            <w:r>
              <w:rPr>
                <w:rFonts w:ascii="微软雅黑" w:eastAsia="微软雅黑" w:hAnsi="微软雅黑" w:hint="eastAsia"/>
                <w:szCs w:val="21"/>
              </w:rPr>
              <w:t>11</w:t>
            </w:r>
            <w:r>
              <w:rPr>
                <w:rFonts w:ascii="微软雅黑" w:eastAsia="微软雅黑" w:hAnsi="微软雅黑" w:hint="eastAsia"/>
                <w:szCs w:val="21"/>
              </w:rPr>
              <w:t>月</w:t>
            </w:r>
            <w:r>
              <w:rPr>
                <w:rFonts w:ascii="微软雅黑" w:eastAsia="微软雅黑" w:hAnsi="微软雅黑" w:hint="eastAsia"/>
                <w:szCs w:val="21"/>
              </w:rPr>
              <w:t>03</w:t>
            </w:r>
            <w:r>
              <w:rPr>
                <w:rFonts w:ascii="微软雅黑" w:eastAsia="微软雅黑" w:hAnsi="微软雅黑" w:hint="eastAsia"/>
                <w:szCs w:val="21"/>
              </w:rPr>
              <w:t>日</w:t>
            </w:r>
            <w:r>
              <w:rPr>
                <w:rFonts w:ascii="微软雅黑" w:eastAsia="微软雅黑" w:hAnsi="微软雅黑" w:hint="eastAsia"/>
                <w:szCs w:val="21"/>
              </w:rPr>
              <w:t>9:00</w:t>
            </w:r>
            <w:r>
              <w:rPr>
                <w:rFonts w:ascii="微软雅黑" w:eastAsia="微软雅黑" w:hAnsi="微软雅黑" w:hint="eastAsia"/>
                <w:szCs w:val="21"/>
              </w:rPr>
              <w:t>至</w:t>
            </w:r>
            <w:r>
              <w:rPr>
                <w:rFonts w:ascii="微软雅黑" w:eastAsia="微软雅黑" w:hAnsi="微软雅黑" w:hint="eastAsia"/>
                <w:szCs w:val="21"/>
              </w:rPr>
              <w:t>2021</w:t>
            </w:r>
            <w:r>
              <w:rPr>
                <w:rFonts w:ascii="微软雅黑" w:eastAsia="微软雅黑" w:hAnsi="微软雅黑" w:hint="eastAsia"/>
                <w:szCs w:val="21"/>
              </w:rPr>
              <w:t>年</w:t>
            </w:r>
            <w:r>
              <w:rPr>
                <w:rFonts w:ascii="微软雅黑" w:eastAsia="微软雅黑" w:hAnsi="微软雅黑" w:hint="eastAsia"/>
                <w:szCs w:val="21"/>
              </w:rPr>
              <w:t>11</w:t>
            </w:r>
            <w:r>
              <w:rPr>
                <w:rFonts w:ascii="微软雅黑" w:eastAsia="微软雅黑" w:hAnsi="微软雅黑" w:hint="eastAsia"/>
                <w:szCs w:val="21"/>
              </w:rPr>
              <w:t>月</w:t>
            </w:r>
            <w:r>
              <w:rPr>
                <w:rFonts w:ascii="微软雅黑" w:eastAsia="微软雅黑" w:hAnsi="微软雅黑" w:hint="eastAsia"/>
                <w:szCs w:val="21"/>
              </w:rPr>
              <w:t>09</w:t>
            </w:r>
            <w:r>
              <w:rPr>
                <w:rFonts w:ascii="微软雅黑" w:eastAsia="微软雅黑" w:hAnsi="微软雅黑" w:hint="eastAsia"/>
                <w:szCs w:val="21"/>
              </w:rPr>
              <w:t>日</w:t>
            </w:r>
            <w:r>
              <w:rPr>
                <w:rFonts w:ascii="微软雅黑" w:eastAsia="微软雅黑" w:hAnsi="微软雅黑" w:hint="eastAsia"/>
                <w:szCs w:val="21"/>
              </w:rPr>
              <w:t>17:00</w:t>
            </w:r>
            <w:r>
              <w:rPr>
                <w:rFonts w:ascii="微软雅黑" w:eastAsia="微软雅黑" w:hAnsi="微软雅黑" w:hint="eastAsia"/>
                <w:szCs w:val="21"/>
              </w:rPr>
              <w:t>，珠海华润银行有权提前结束认购并调整相关日期</w:t>
            </w:r>
            <w:r>
              <w:rPr>
                <w:rFonts w:ascii="微软雅黑" w:eastAsia="微软雅黑" w:hAnsi="微软雅黑"/>
                <w:szCs w:val="21"/>
              </w:rPr>
              <w:t>。</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资金到账日</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理财产品到期或提前终止日后</w:t>
            </w:r>
            <w:r>
              <w:rPr>
                <w:rFonts w:ascii="微软雅黑" w:eastAsia="微软雅黑" w:hAnsi="微软雅黑" w:hint="eastAsia"/>
                <w:szCs w:val="21"/>
              </w:rPr>
              <w:t>3</w:t>
            </w:r>
            <w:r>
              <w:rPr>
                <w:rFonts w:ascii="微软雅黑" w:eastAsia="微软雅黑" w:hAnsi="微软雅黑" w:hint="eastAsia"/>
                <w:szCs w:val="21"/>
              </w:rPr>
              <w:t>个工作日内</w:t>
            </w:r>
          </w:p>
        </w:tc>
      </w:tr>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清算期</w:t>
            </w:r>
          </w:p>
        </w:tc>
        <w:tc>
          <w:tcPr>
            <w:tcW w:w="7200"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理财产品到期日（含提前终止情形）至理财资金到账日为清算期，清算期内不计付利息。</w:t>
            </w:r>
            <w:proofErr w:type="gramStart"/>
            <w:r>
              <w:rPr>
                <w:rFonts w:ascii="微软雅黑" w:eastAsia="微软雅黑" w:hAnsi="微软雅黑" w:hint="eastAsia"/>
                <w:szCs w:val="21"/>
              </w:rPr>
              <w:t>清算期逢节假日</w:t>
            </w:r>
            <w:proofErr w:type="gramEnd"/>
            <w:r>
              <w:rPr>
                <w:rFonts w:ascii="微软雅黑" w:eastAsia="微软雅黑" w:hAnsi="微软雅黑" w:hint="eastAsia"/>
                <w:szCs w:val="21"/>
              </w:rPr>
              <w:t>顺延。</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管理人</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珠海华润银行股份有限公司</w:t>
            </w:r>
          </w:p>
        </w:tc>
      </w:tr>
      <w:tr w:rsidR="00392D7E">
        <w:trPr>
          <w:trHeight w:val="322"/>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托管人</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宁波</w:t>
            </w:r>
            <w:r>
              <w:rPr>
                <w:rFonts w:ascii="微软雅黑" w:eastAsia="微软雅黑" w:hAnsi="微软雅黑" w:hint="eastAsia"/>
                <w:szCs w:val="21"/>
              </w:rPr>
              <w:t>银行股份有限公司</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业绩比较基准</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4.</w:t>
            </w:r>
            <w:r w:rsidR="000912D0">
              <w:rPr>
                <w:rFonts w:ascii="微软雅黑" w:eastAsia="微软雅黑" w:hAnsi="微软雅黑" w:hint="eastAsia"/>
                <w:szCs w:val="21"/>
              </w:rPr>
              <w:t>1</w:t>
            </w:r>
            <w:r w:rsidR="00FC57AE">
              <w:rPr>
                <w:rFonts w:ascii="微软雅黑" w:eastAsia="微软雅黑" w:hAnsi="微软雅黑" w:hint="eastAsia"/>
                <w:szCs w:val="21"/>
              </w:rPr>
              <w:t>8</w:t>
            </w:r>
            <w:bookmarkStart w:id="0" w:name="_GoBack"/>
            <w:bookmarkEnd w:id="0"/>
            <w:r>
              <w:rPr>
                <w:rFonts w:ascii="微软雅黑" w:eastAsia="微软雅黑" w:hAnsi="微软雅黑" w:hint="eastAsia"/>
                <w:szCs w:val="21"/>
              </w:rPr>
              <w:t>％（年化）。</w:t>
            </w:r>
            <w:proofErr w:type="gramStart"/>
            <w:r>
              <w:rPr>
                <w:rFonts w:ascii="微软雅黑" w:eastAsia="微软雅黑" w:hAnsi="微软雅黑" w:hint="eastAsia"/>
                <w:szCs w:val="21"/>
              </w:rPr>
              <w:t>该业绩</w:t>
            </w:r>
            <w:proofErr w:type="gramEnd"/>
            <w:r>
              <w:rPr>
                <w:rFonts w:ascii="微软雅黑" w:eastAsia="微软雅黑" w:hAnsi="微软雅黑" w:hint="eastAsia"/>
                <w:szCs w:val="21"/>
              </w:rPr>
              <w:t>比较基准仅作为计算浮动管理费的依据，不构成珠海华润银行对本理财产品的任何收益承诺。</w:t>
            </w:r>
            <w:r>
              <w:rPr>
                <w:rFonts w:ascii="微软雅黑" w:eastAsia="微软雅黑" w:hAnsi="微软雅黑" w:cs="微软雅黑" w:hint="eastAsia"/>
                <w:b/>
                <w:bCs/>
                <w:szCs w:val="21"/>
              </w:rPr>
              <w:t>理财产品过往业绩不代表其未来表现，不等于理财产品实际收益，投资须谨慎。</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相关费用</w:t>
            </w:r>
          </w:p>
        </w:tc>
        <w:tc>
          <w:tcPr>
            <w:tcW w:w="7200" w:type="dxa"/>
          </w:tcPr>
          <w:p w:rsidR="00392D7E" w:rsidRDefault="00D24908">
            <w:pPr>
              <w:spacing w:line="320" w:lineRule="exact"/>
              <w:rPr>
                <w:rFonts w:ascii="微软雅黑" w:eastAsia="微软雅黑" w:hAnsi="微软雅黑"/>
                <w:szCs w:val="21"/>
              </w:rPr>
            </w:pPr>
            <w:bookmarkStart w:id="1" w:name="OLE_LINK2"/>
            <w:r>
              <w:rPr>
                <w:rFonts w:ascii="微软雅黑" w:eastAsia="微软雅黑" w:hAnsi="微软雅黑" w:hint="eastAsia"/>
                <w:szCs w:val="21"/>
              </w:rPr>
              <w:t>一、固定费用</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产品托管费：</w:t>
            </w:r>
            <w:r>
              <w:rPr>
                <w:rFonts w:ascii="微软雅黑" w:eastAsia="微软雅黑" w:hAnsi="微软雅黑" w:hint="eastAsia"/>
                <w:szCs w:val="21"/>
              </w:rPr>
              <w:t>0.0</w:t>
            </w:r>
            <w:r>
              <w:rPr>
                <w:rFonts w:ascii="微软雅黑" w:eastAsia="微软雅黑" w:hAnsi="微软雅黑" w:hint="eastAsia"/>
                <w:szCs w:val="21"/>
              </w:rPr>
              <w:t>08</w:t>
            </w:r>
            <w:r>
              <w:rPr>
                <w:rFonts w:ascii="微软雅黑" w:eastAsia="微软雅黑" w:hAnsi="微软雅黑" w:hint="eastAsia"/>
                <w:szCs w:val="21"/>
              </w:rPr>
              <w:t>%/</w:t>
            </w:r>
            <w:r>
              <w:rPr>
                <w:rFonts w:ascii="微软雅黑" w:eastAsia="微软雅黑" w:hAnsi="微软雅黑" w:hint="eastAsia"/>
                <w:szCs w:val="21"/>
              </w:rPr>
              <w:t>年；</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lastRenderedPageBreak/>
              <w:t>运营服务费：</w:t>
            </w:r>
            <w:r>
              <w:rPr>
                <w:rFonts w:ascii="微软雅黑" w:eastAsia="微软雅黑" w:hAnsi="微软雅黑" w:hint="eastAsia"/>
                <w:szCs w:val="21"/>
              </w:rPr>
              <w:t>0.005%</w:t>
            </w:r>
            <w:r>
              <w:rPr>
                <w:rFonts w:ascii="微软雅黑" w:eastAsia="微软雅黑" w:hAnsi="微软雅黑" w:hint="eastAsia"/>
                <w:szCs w:val="21"/>
              </w:rPr>
              <w:t>/</w:t>
            </w:r>
            <w:r>
              <w:rPr>
                <w:rFonts w:ascii="微软雅黑" w:eastAsia="微软雅黑" w:hAnsi="微软雅黑" w:hint="eastAsia"/>
                <w:szCs w:val="21"/>
              </w:rPr>
              <w:t>年</w:t>
            </w:r>
            <w:r>
              <w:rPr>
                <w:rFonts w:ascii="微软雅黑" w:eastAsia="微软雅黑" w:hAnsi="微软雅黑" w:hint="eastAsia"/>
                <w:szCs w:val="21"/>
              </w:rPr>
              <w:t>；</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销售手续费：</w:t>
            </w:r>
            <w:r>
              <w:rPr>
                <w:rFonts w:ascii="微软雅黑" w:eastAsia="微软雅黑" w:hAnsi="微软雅黑" w:hint="eastAsia"/>
                <w:szCs w:val="21"/>
              </w:rPr>
              <w:t>0.</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年；</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固定投资管理费：</w:t>
            </w:r>
            <w:r>
              <w:rPr>
                <w:rFonts w:ascii="微软雅黑" w:eastAsia="微软雅黑" w:hAnsi="微软雅黑" w:hint="eastAsia"/>
                <w:szCs w:val="21"/>
              </w:rPr>
              <w:t>0.</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年；</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二、浮动费用</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ascii="微软雅黑" w:eastAsia="微软雅黑" w:hAnsi="微软雅黑" w:hint="eastAsia"/>
                <w:szCs w:val="21"/>
              </w:rPr>
              <w:t>计提频率为产品每一估值日。</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本产品暂不收取认购费用。</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三、固定投资管理费回拨</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珠海华润银行有权对本理财产品的收费项目、收费条件、收费方式、费率等进行调整。</w:t>
            </w:r>
            <w:bookmarkEnd w:id="1"/>
          </w:p>
        </w:tc>
      </w:tr>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lastRenderedPageBreak/>
              <w:t>节假日</w:t>
            </w:r>
            <w:r>
              <w:rPr>
                <w:rFonts w:ascii="微软雅黑" w:eastAsia="微软雅黑" w:hAnsi="微软雅黑" w:hint="eastAsia"/>
                <w:szCs w:val="21"/>
              </w:rPr>
              <w:t xml:space="preserve"> </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中国法定公众假日（最终以国务院公布的节假日为准）</w:t>
            </w:r>
          </w:p>
        </w:tc>
      </w:tr>
      <w:tr w:rsidR="00392D7E">
        <w:trPr>
          <w:jc w:val="center"/>
        </w:trPr>
        <w:tc>
          <w:tcPr>
            <w:tcW w:w="2014"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工作日</w:t>
            </w:r>
            <w:r>
              <w:rPr>
                <w:rFonts w:ascii="微软雅黑" w:eastAsia="微软雅黑" w:hAnsi="微软雅黑" w:hint="eastAsia"/>
                <w:szCs w:val="21"/>
              </w:rPr>
              <w:t xml:space="preserve"> </w:t>
            </w:r>
          </w:p>
        </w:tc>
        <w:tc>
          <w:tcPr>
            <w:tcW w:w="7200" w:type="dxa"/>
          </w:tcPr>
          <w:p w:rsidR="00392D7E" w:rsidRDefault="00D24908">
            <w:pPr>
              <w:spacing w:line="320" w:lineRule="exact"/>
              <w:rPr>
                <w:rFonts w:ascii="微软雅黑" w:eastAsia="微软雅黑" w:hAnsi="微软雅黑"/>
                <w:b/>
                <w:szCs w:val="21"/>
              </w:rPr>
            </w:pPr>
            <w:r>
              <w:rPr>
                <w:rFonts w:ascii="微软雅黑" w:eastAsia="微软雅黑" w:hAnsi="微软雅黑" w:hint="eastAsia"/>
                <w:szCs w:val="21"/>
              </w:rPr>
              <w:t>国家法定工作日</w:t>
            </w:r>
          </w:p>
        </w:tc>
      </w:tr>
      <w:tr w:rsidR="00392D7E">
        <w:trPr>
          <w:jc w:val="center"/>
        </w:trPr>
        <w:tc>
          <w:tcPr>
            <w:tcW w:w="2014"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税款</w:t>
            </w:r>
          </w:p>
        </w:tc>
        <w:tc>
          <w:tcPr>
            <w:tcW w:w="7200" w:type="dxa"/>
          </w:tcPr>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w:t>
            </w:r>
            <w:r>
              <w:rPr>
                <w:rFonts w:ascii="微软雅黑" w:eastAsia="微软雅黑" w:hAnsi="微软雅黑" w:hint="eastAsia"/>
                <w:szCs w:val="21"/>
              </w:rPr>
              <w:t>缴纳。</w:t>
            </w:r>
          </w:p>
        </w:tc>
      </w:tr>
    </w:tbl>
    <w:p w:rsidR="00392D7E" w:rsidRDefault="00392D7E">
      <w:pPr>
        <w:adjustRightInd w:val="0"/>
        <w:snapToGrid w:val="0"/>
        <w:spacing w:line="320" w:lineRule="exact"/>
        <w:ind w:left="456"/>
        <w:rPr>
          <w:rFonts w:ascii="微软雅黑" w:eastAsia="微软雅黑" w:hAnsi="微软雅黑" w:cs="Arial"/>
          <w:b/>
          <w:szCs w:val="21"/>
        </w:rPr>
      </w:pPr>
    </w:p>
    <w:p w:rsidR="00392D7E" w:rsidRDefault="00D24908">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二、投资对象</w:t>
      </w:r>
    </w:p>
    <w:p w:rsidR="00392D7E" w:rsidRDefault="00D24908">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本理财产品投资于符合监管要求的固定收益类资产</w:t>
      </w:r>
      <w:r>
        <w:rPr>
          <w:rFonts w:ascii="微软雅黑" w:eastAsia="微软雅黑" w:hAnsi="微软雅黑" w:hint="eastAsia"/>
          <w:szCs w:val="21"/>
        </w:rPr>
        <w:t>、权益类资产及其他资产</w:t>
      </w:r>
      <w:r>
        <w:rPr>
          <w:rFonts w:ascii="微软雅黑" w:eastAsia="微软雅黑" w:hAnsi="微软雅黑" w:hint="eastAsia"/>
          <w:szCs w:val="21"/>
        </w:rPr>
        <w:t>，</w:t>
      </w:r>
      <w:r>
        <w:rPr>
          <w:rFonts w:ascii="微软雅黑" w:eastAsia="微软雅黑" w:hAnsi="微软雅黑" w:hint="eastAsia"/>
          <w:szCs w:val="21"/>
        </w:rPr>
        <w:t>属于固定收益类产品。</w:t>
      </w:r>
      <w:r>
        <w:rPr>
          <w:rFonts w:ascii="微软雅黑" w:eastAsia="微软雅黑" w:hAnsi="微软雅黑" w:hint="eastAsia"/>
          <w:szCs w:val="21"/>
        </w:rPr>
        <w:t>固定收益类资产包括但不限于货币市场工具类、债券类、其他符合监管要求的债权类资产</w:t>
      </w:r>
      <w:r>
        <w:rPr>
          <w:rFonts w:ascii="微软雅黑" w:eastAsia="微软雅黑" w:hAnsi="微软雅黑" w:hint="eastAsia"/>
          <w:szCs w:val="21"/>
        </w:rPr>
        <w:t>、股权收益权、信托计划、</w:t>
      </w:r>
      <w:proofErr w:type="gramStart"/>
      <w:r>
        <w:rPr>
          <w:rFonts w:ascii="微软雅黑" w:eastAsia="微软雅黑" w:hAnsi="微软雅黑" w:hint="eastAsia"/>
          <w:szCs w:val="21"/>
        </w:rPr>
        <w:t>资管计划</w:t>
      </w:r>
      <w:proofErr w:type="gramEnd"/>
      <w:r>
        <w:rPr>
          <w:rFonts w:ascii="微软雅黑" w:eastAsia="微软雅黑" w:hAnsi="微软雅黑" w:hint="eastAsia"/>
          <w:szCs w:val="21"/>
        </w:rPr>
        <w:t>等。</w:t>
      </w:r>
    </w:p>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各投资资产种类占总投资资产的计划投资比例如下：</w:t>
      </w:r>
    </w:p>
    <w:tbl>
      <w:tblPr>
        <w:tblStyle w:val="a8"/>
        <w:tblW w:w="0" w:type="auto"/>
        <w:tblInd w:w="534" w:type="dxa"/>
        <w:tblLook w:val="04A0" w:firstRow="1" w:lastRow="0" w:firstColumn="1" w:lastColumn="0" w:noHBand="0" w:noVBand="1"/>
      </w:tblPr>
      <w:tblGrid>
        <w:gridCol w:w="3727"/>
        <w:gridCol w:w="2651"/>
      </w:tblGrid>
      <w:tr w:rsidR="00392D7E">
        <w:tc>
          <w:tcPr>
            <w:tcW w:w="3727"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资产种类</w:t>
            </w:r>
          </w:p>
        </w:tc>
        <w:tc>
          <w:tcPr>
            <w:tcW w:w="2651"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投资比例</w:t>
            </w:r>
          </w:p>
        </w:tc>
      </w:tr>
      <w:tr w:rsidR="00392D7E">
        <w:tc>
          <w:tcPr>
            <w:tcW w:w="3727"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固定收益类资产</w:t>
            </w:r>
          </w:p>
        </w:tc>
        <w:tc>
          <w:tcPr>
            <w:tcW w:w="2651"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0%-80%</w:t>
            </w:r>
          </w:p>
        </w:tc>
      </w:tr>
      <w:tr w:rsidR="00392D7E">
        <w:tc>
          <w:tcPr>
            <w:tcW w:w="3727"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权益类资产</w:t>
            </w:r>
          </w:p>
        </w:tc>
        <w:tc>
          <w:tcPr>
            <w:tcW w:w="2651"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0%-20%</w:t>
            </w:r>
          </w:p>
        </w:tc>
      </w:tr>
      <w:tr w:rsidR="00392D7E">
        <w:tc>
          <w:tcPr>
            <w:tcW w:w="3727"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其他资产</w:t>
            </w:r>
          </w:p>
        </w:tc>
        <w:tc>
          <w:tcPr>
            <w:tcW w:w="2651" w:type="dxa"/>
          </w:tcPr>
          <w:p w:rsidR="00392D7E" w:rsidRDefault="00D24908">
            <w:pPr>
              <w:adjustRightInd w:val="0"/>
              <w:snapToGrid w:val="0"/>
              <w:spacing w:line="320" w:lineRule="exact"/>
              <w:ind w:left="454"/>
              <w:rPr>
                <w:rFonts w:ascii="微软雅黑" w:eastAsia="微软雅黑" w:hAnsi="微软雅黑"/>
                <w:szCs w:val="21"/>
              </w:rPr>
            </w:pPr>
            <w:r>
              <w:rPr>
                <w:rFonts w:ascii="微软雅黑" w:eastAsia="微软雅黑" w:hAnsi="微软雅黑" w:hint="eastAsia"/>
                <w:szCs w:val="21"/>
              </w:rPr>
              <w:t>0%-20%</w:t>
            </w:r>
          </w:p>
        </w:tc>
      </w:tr>
    </w:tbl>
    <w:p w:rsidR="00392D7E" w:rsidRDefault="00D24908">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在理财产品存续期内可能因市场的重大变化导致投资比例不在上述区间，珠海华润银行将</w:t>
      </w:r>
      <w:proofErr w:type="gramStart"/>
      <w:r>
        <w:rPr>
          <w:rFonts w:ascii="微软雅黑" w:eastAsia="微软雅黑" w:hAnsi="微软雅黑" w:hint="eastAsia"/>
          <w:szCs w:val="21"/>
        </w:rPr>
        <w:t>尽合理</w:t>
      </w:r>
      <w:proofErr w:type="gramEnd"/>
      <w:r>
        <w:rPr>
          <w:rFonts w:ascii="微软雅黑" w:eastAsia="微软雅黑" w:hAnsi="微软雅黑" w:hint="eastAsia"/>
          <w:szCs w:val="21"/>
        </w:rPr>
        <w:t>努力，以客户利益最大化为原则，在</w:t>
      </w:r>
      <w:r>
        <w:rPr>
          <w:rFonts w:ascii="微软雅黑" w:eastAsia="微软雅黑" w:hAnsi="微软雅黑" w:hint="eastAsia"/>
          <w:szCs w:val="21"/>
        </w:rPr>
        <w:t>15</w:t>
      </w:r>
      <w:r>
        <w:rPr>
          <w:rFonts w:ascii="微软雅黑" w:eastAsia="微软雅黑" w:hAnsi="微软雅黑" w:hint="eastAsia"/>
          <w:szCs w:val="21"/>
        </w:rPr>
        <w:t>个工作日内调整投资比例至上述区间。</w:t>
      </w:r>
    </w:p>
    <w:p w:rsidR="00392D7E" w:rsidRDefault="00D24908">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珠海华润银行有权根据市场情况，在不损害客户利益且根据约定提前公告的情况下，对本理财产品的投资范围、投资资产种类和投资比例进行调整。</w:t>
      </w:r>
    </w:p>
    <w:p w:rsidR="00392D7E" w:rsidRDefault="00392D7E">
      <w:pPr>
        <w:adjustRightInd w:val="0"/>
        <w:snapToGrid w:val="0"/>
        <w:spacing w:line="320" w:lineRule="exact"/>
        <w:ind w:left="454"/>
        <w:rPr>
          <w:rFonts w:ascii="微软雅黑" w:eastAsia="微软雅黑" w:hAnsi="微软雅黑" w:cs="Arial"/>
          <w:b/>
          <w:szCs w:val="21"/>
        </w:rPr>
      </w:pPr>
    </w:p>
    <w:p w:rsidR="00392D7E" w:rsidRDefault="00D24908">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三、理财产品净值及份额的计算</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理财产品资产净值</w:t>
      </w:r>
      <w:r>
        <w:rPr>
          <w:rFonts w:ascii="微软雅黑" w:eastAsia="微软雅黑" w:hAnsi="微软雅黑" w:hint="eastAsia"/>
          <w:szCs w:val="21"/>
        </w:rPr>
        <w:t>=</w:t>
      </w:r>
      <w:r>
        <w:rPr>
          <w:rFonts w:ascii="微软雅黑" w:eastAsia="微软雅黑" w:hAnsi="微软雅黑" w:hint="eastAsia"/>
          <w:szCs w:val="21"/>
        </w:rPr>
        <w:t>理财产品总资产</w:t>
      </w:r>
      <w:r>
        <w:rPr>
          <w:rFonts w:ascii="微软雅黑" w:eastAsia="微软雅黑" w:hAnsi="微软雅黑" w:hint="eastAsia"/>
          <w:szCs w:val="21"/>
        </w:rPr>
        <w:t>-</w:t>
      </w:r>
      <w:r>
        <w:rPr>
          <w:rFonts w:ascii="微软雅黑" w:eastAsia="微软雅黑" w:hAnsi="微软雅黑" w:hint="eastAsia"/>
          <w:szCs w:val="21"/>
        </w:rPr>
        <w:t>总负债。</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理财产品份额净值</w:t>
      </w:r>
      <w:r>
        <w:rPr>
          <w:rFonts w:ascii="微软雅黑" w:eastAsia="微软雅黑" w:hAnsi="微软雅黑" w:hint="eastAsia"/>
          <w:szCs w:val="21"/>
        </w:rPr>
        <w:t>=</w:t>
      </w:r>
      <w:r>
        <w:rPr>
          <w:rFonts w:ascii="微软雅黑" w:eastAsia="微软雅黑" w:hAnsi="微软雅黑" w:hint="eastAsia"/>
          <w:szCs w:val="21"/>
        </w:rPr>
        <w:t>理财产品资产净值</w:t>
      </w:r>
      <w:r>
        <w:rPr>
          <w:rFonts w:ascii="微软雅黑" w:eastAsia="微软雅黑" w:hAnsi="微软雅黑" w:hint="eastAsia"/>
          <w:szCs w:val="21"/>
        </w:rPr>
        <w:t>/</w:t>
      </w:r>
      <w:r>
        <w:rPr>
          <w:rFonts w:ascii="微软雅黑" w:eastAsia="微软雅黑" w:hAnsi="微软雅黑" w:hint="eastAsia"/>
          <w:szCs w:val="21"/>
        </w:rPr>
        <w:t>理财产品存续份额，理财产品份额净值保留至小数点后</w:t>
      </w:r>
      <w:r>
        <w:rPr>
          <w:rFonts w:ascii="微软雅黑" w:eastAsia="微软雅黑" w:hAnsi="微软雅黑" w:hint="eastAsia"/>
          <w:szCs w:val="21"/>
        </w:rPr>
        <w:t>8</w:t>
      </w:r>
      <w:r>
        <w:rPr>
          <w:rFonts w:ascii="微软雅黑" w:eastAsia="微软雅黑" w:hAnsi="微软雅黑" w:hint="eastAsia"/>
          <w:szCs w:val="21"/>
        </w:rPr>
        <w:t>位</w:t>
      </w:r>
      <w:r>
        <w:rPr>
          <w:rFonts w:ascii="微软雅黑" w:eastAsia="微软雅黑" w:hAnsi="微软雅黑" w:hint="eastAsia"/>
          <w:szCs w:val="21"/>
        </w:rPr>
        <w:t>（保留</w:t>
      </w:r>
      <w:r>
        <w:rPr>
          <w:rFonts w:ascii="微软雅黑" w:eastAsia="微软雅黑" w:hAnsi="微软雅黑" w:hint="eastAsia"/>
          <w:szCs w:val="21"/>
        </w:rPr>
        <w:t>8</w:t>
      </w:r>
      <w:r>
        <w:rPr>
          <w:rFonts w:ascii="微软雅黑" w:eastAsia="微软雅黑" w:hAnsi="微软雅黑" w:hint="eastAsia"/>
          <w:szCs w:val="21"/>
        </w:rPr>
        <w:t>位小数，</w:t>
      </w:r>
      <w:r>
        <w:rPr>
          <w:rFonts w:ascii="微软雅黑" w:eastAsia="微软雅黑" w:hAnsi="微软雅黑" w:hint="eastAsia"/>
          <w:szCs w:val="21"/>
        </w:rPr>
        <w:t>8</w:t>
      </w:r>
      <w:r>
        <w:rPr>
          <w:rFonts w:ascii="微软雅黑" w:eastAsia="微软雅黑" w:hAnsi="微软雅黑" w:hint="eastAsia"/>
          <w:szCs w:val="21"/>
        </w:rPr>
        <w:t>位小数点后四舍五入）</w:t>
      </w:r>
      <w:r>
        <w:rPr>
          <w:rFonts w:ascii="微软雅黑" w:eastAsia="微软雅黑" w:hAnsi="微软雅黑" w:hint="eastAsia"/>
          <w:szCs w:val="21"/>
        </w:rPr>
        <w:t>。</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lastRenderedPageBreak/>
        <w:t>认购份额</w:t>
      </w:r>
      <w:r>
        <w:rPr>
          <w:rFonts w:ascii="微软雅黑" w:eastAsia="微软雅黑" w:hAnsi="微软雅黑"/>
          <w:szCs w:val="21"/>
        </w:rPr>
        <w:t>=</w:t>
      </w:r>
      <w:r>
        <w:rPr>
          <w:rFonts w:ascii="微软雅黑" w:eastAsia="微软雅黑" w:hAnsi="微软雅黑" w:hint="eastAsia"/>
          <w:szCs w:val="21"/>
        </w:rPr>
        <w:t>认购金额</w:t>
      </w:r>
      <w:r>
        <w:rPr>
          <w:rFonts w:ascii="微软雅黑" w:eastAsia="微软雅黑" w:hAnsi="微软雅黑"/>
          <w:szCs w:val="21"/>
        </w:rPr>
        <w:t>/1</w:t>
      </w:r>
      <w:r>
        <w:rPr>
          <w:rFonts w:ascii="微软雅黑" w:eastAsia="微软雅黑" w:hAnsi="微软雅黑" w:hint="eastAsia"/>
          <w:szCs w:val="21"/>
        </w:rPr>
        <w:t>元，认购份额保留至小数点后</w:t>
      </w:r>
      <w:r>
        <w:rPr>
          <w:rFonts w:ascii="微软雅黑" w:eastAsia="微软雅黑" w:hAnsi="微软雅黑" w:hint="eastAsia"/>
          <w:szCs w:val="21"/>
        </w:rPr>
        <w:t>2</w:t>
      </w:r>
      <w:r>
        <w:rPr>
          <w:rFonts w:ascii="微软雅黑" w:eastAsia="微软雅黑" w:hAnsi="微软雅黑" w:hint="eastAsia"/>
          <w:szCs w:val="21"/>
        </w:rPr>
        <w:t>位</w:t>
      </w:r>
      <w:r>
        <w:rPr>
          <w:rFonts w:ascii="微软雅黑" w:eastAsia="微软雅黑" w:hAnsi="微软雅黑"/>
          <w:szCs w:val="21"/>
        </w:rPr>
        <w:t>（保留</w:t>
      </w:r>
      <w:r>
        <w:rPr>
          <w:rFonts w:ascii="微软雅黑" w:eastAsia="微软雅黑" w:hAnsi="微软雅黑" w:hint="eastAsia"/>
          <w:szCs w:val="21"/>
        </w:rPr>
        <w:t>2</w:t>
      </w:r>
      <w:r>
        <w:rPr>
          <w:rFonts w:ascii="微软雅黑" w:eastAsia="微软雅黑" w:hAnsi="微软雅黑"/>
          <w:szCs w:val="21"/>
        </w:rPr>
        <w:t>位小数，</w:t>
      </w:r>
      <w:r>
        <w:rPr>
          <w:rFonts w:ascii="微软雅黑" w:eastAsia="微软雅黑" w:hAnsi="微软雅黑" w:hint="eastAsia"/>
          <w:szCs w:val="21"/>
        </w:rPr>
        <w:t>2</w:t>
      </w:r>
      <w:r>
        <w:rPr>
          <w:rFonts w:ascii="微软雅黑" w:eastAsia="微软雅黑" w:hAnsi="微软雅黑"/>
          <w:szCs w:val="21"/>
        </w:rPr>
        <w:t>位小数点后</w:t>
      </w:r>
      <w:r>
        <w:rPr>
          <w:rFonts w:ascii="微软雅黑" w:eastAsia="微软雅黑" w:hAnsi="微软雅黑" w:hint="eastAsia"/>
          <w:szCs w:val="21"/>
        </w:rPr>
        <w:t>四舍五入</w:t>
      </w:r>
      <w:r>
        <w:rPr>
          <w:rFonts w:ascii="微软雅黑" w:eastAsia="微软雅黑" w:hAnsi="微软雅黑"/>
          <w:szCs w:val="21"/>
        </w:rPr>
        <w:t>）。</w:t>
      </w:r>
    </w:p>
    <w:p w:rsidR="00392D7E" w:rsidRDefault="00392D7E">
      <w:pPr>
        <w:adjustRightInd w:val="0"/>
        <w:snapToGrid w:val="0"/>
        <w:spacing w:line="320" w:lineRule="exact"/>
        <w:ind w:left="454"/>
        <w:rPr>
          <w:rFonts w:ascii="微软雅黑" w:eastAsia="微软雅黑" w:hAnsi="微软雅黑"/>
          <w:szCs w:val="21"/>
        </w:rPr>
      </w:pPr>
    </w:p>
    <w:p w:rsidR="00392D7E" w:rsidRDefault="00D24908">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四、理财产品认购及成立</w:t>
      </w:r>
    </w:p>
    <w:p w:rsidR="00392D7E" w:rsidRDefault="00D24908">
      <w:pPr>
        <w:adjustRightInd w:val="0"/>
        <w:snapToGrid w:val="0"/>
        <w:spacing w:line="320" w:lineRule="exact"/>
        <w:ind w:left="456"/>
        <w:rPr>
          <w:rFonts w:ascii="微软雅黑" w:eastAsia="微软雅黑" w:hAnsi="微软雅黑" w:cs="Arial"/>
          <w:b/>
          <w:szCs w:val="21"/>
        </w:rPr>
      </w:pPr>
      <w:r>
        <w:rPr>
          <w:rFonts w:ascii="微软雅黑" w:eastAsia="微软雅黑" w:hAnsi="微软雅黑" w:cs="Arial" w:hint="eastAsia"/>
          <w:b/>
          <w:szCs w:val="21"/>
        </w:rPr>
        <w:t>（一）产品认购</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产品</w:t>
      </w:r>
      <w:r>
        <w:rPr>
          <w:rFonts w:ascii="微软雅黑" w:eastAsia="微软雅黑" w:hAnsi="微软雅黑"/>
          <w:szCs w:val="21"/>
        </w:rPr>
        <w:t>登记日：本理财</w:t>
      </w:r>
      <w:r>
        <w:rPr>
          <w:rFonts w:ascii="微软雅黑" w:eastAsia="微软雅黑" w:hAnsi="微软雅黑" w:hint="eastAsia"/>
          <w:szCs w:val="21"/>
        </w:rPr>
        <w:t>产品</w:t>
      </w:r>
      <w:r>
        <w:rPr>
          <w:rFonts w:ascii="微软雅黑" w:eastAsia="微软雅黑" w:hAnsi="微软雅黑"/>
          <w:szCs w:val="21"/>
        </w:rPr>
        <w:t>于</w:t>
      </w:r>
      <w:r>
        <w:rPr>
          <w:rFonts w:ascii="微软雅黑" w:eastAsia="微软雅黑" w:hAnsi="微软雅黑" w:hint="eastAsia"/>
          <w:szCs w:val="21"/>
        </w:rPr>
        <w:t>2021</w:t>
      </w:r>
      <w:r>
        <w:rPr>
          <w:rFonts w:ascii="微软雅黑" w:eastAsia="微软雅黑" w:hAnsi="微软雅黑" w:hint="eastAsia"/>
          <w:szCs w:val="21"/>
        </w:rPr>
        <w:t>年</w:t>
      </w:r>
      <w:r>
        <w:rPr>
          <w:rFonts w:ascii="微软雅黑" w:eastAsia="微软雅黑" w:hAnsi="微软雅黑" w:hint="eastAsia"/>
          <w:szCs w:val="21"/>
        </w:rPr>
        <w:t>11</w:t>
      </w:r>
      <w:r>
        <w:rPr>
          <w:rFonts w:ascii="微软雅黑" w:eastAsia="微软雅黑" w:hAnsi="微软雅黑" w:hint="eastAsia"/>
          <w:szCs w:val="21"/>
        </w:rPr>
        <w:t>月</w:t>
      </w:r>
      <w:r>
        <w:rPr>
          <w:rFonts w:ascii="微软雅黑" w:eastAsia="微软雅黑" w:hAnsi="微软雅黑" w:hint="eastAsia"/>
          <w:szCs w:val="21"/>
        </w:rPr>
        <w:t>10</w:t>
      </w:r>
      <w:r>
        <w:rPr>
          <w:rFonts w:ascii="微软雅黑" w:eastAsia="微软雅黑" w:hAnsi="微软雅黑" w:hint="eastAsia"/>
          <w:szCs w:val="21"/>
        </w:rPr>
        <w:t>日</w:t>
      </w:r>
      <w:r>
        <w:rPr>
          <w:rFonts w:ascii="微软雅黑" w:eastAsia="微软雅黑" w:hAnsi="微软雅黑"/>
          <w:szCs w:val="21"/>
        </w:rPr>
        <w:t>进行认购登记。</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Pr>
          <w:rFonts w:ascii="微软雅黑" w:eastAsia="微软雅黑" w:hAnsi="微软雅黑"/>
          <w:szCs w:val="21"/>
        </w:rPr>
        <w:t>认购方式及确认：</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1</w:t>
      </w:r>
      <w:r>
        <w:rPr>
          <w:rFonts w:ascii="微软雅黑" w:eastAsia="微软雅黑" w:hAnsi="微软雅黑"/>
          <w:szCs w:val="21"/>
        </w:rPr>
        <w:t>）本理财</w:t>
      </w:r>
      <w:r>
        <w:rPr>
          <w:rFonts w:ascii="微软雅黑" w:eastAsia="微软雅黑" w:hAnsi="微软雅黑" w:hint="eastAsia"/>
          <w:szCs w:val="21"/>
        </w:rPr>
        <w:t>产品</w:t>
      </w:r>
      <w:r>
        <w:rPr>
          <w:rFonts w:ascii="微软雅黑" w:eastAsia="微软雅黑" w:hAnsi="微软雅黑"/>
          <w:szCs w:val="21"/>
        </w:rPr>
        <w:t>采取金额认购的方式；</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2</w:t>
      </w:r>
      <w:r>
        <w:rPr>
          <w:rFonts w:ascii="微软雅黑" w:eastAsia="微软雅黑" w:hAnsi="微软雅黑"/>
          <w:szCs w:val="21"/>
        </w:rPr>
        <w:t>）珠海华润银行受理认购申请并不表示对该申请成功的确认，而仅代表珠海华润银行收到了认购申请，申请是否</w:t>
      </w:r>
      <w:proofErr w:type="gramStart"/>
      <w:r>
        <w:rPr>
          <w:rFonts w:ascii="微软雅黑" w:eastAsia="微软雅黑" w:hAnsi="微软雅黑"/>
          <w:szCs w:val="21"/>
        </w:rPr>
        <w:t>有效以</w:t>
      </w:r>
      <w:proofErr w:type="gramEnd"/>
      <w:r>
        <w:rPr>
          <w:rFonts w:ascii="微软雅黑" w:eastAsia="微软雅黑" w:hAnsi="微软雅黑"/>
          <w:szCs w:val="21"/>
        </w:rPr>
        <w:t>珠海华润银行的确认为准。珠海华润银行在</w:t>
      </w:r>
      <w:r>
        <w:rPr>
          <w:rFonts w:ascii="微软雅黑" w:eastAsia="微软雅黑" w:hAnsi="微软雅黑" w:hint="eastAsia"/>
          <w:szCs w:val="21"/>
        </w:rPr>
        <w:t>产品</w:t>
      </w:r>
      <w:r>
        <w:rPr>
          <w:rFonts w:ascii="微软雅黑" w:eastAsia="微软雅黑" w:hAnsi="微软雅黑"/>
          <w:szCs w:val="21"/>
        </w:rPr>
        <w:t>登记日为</w:t>
      </w:r>
      <w:r>
        <w:rPr>
          <w:rFonts w:ascii="微软雅黑" w:eastAsia="微软雅黑" w:hAnsi="微软雅黑" w:hint="eastAsia"/>
          <w:szCs w:val="21"/>
        </w:rPr>
        <w:t>客户</w:t>
      </w:r>
      <w:r>
        <w:rPr>
          <w:rFonts w:ascii="微软雅黑" w:eastAsia="微软雅黑" w:hAnsi="微软雅黑"/>
          <w:szCs w:val="21"/>
        </w:rPr>
        <w:t>登记认购份额，</w:t>
      </w:r>
      <w:r>
        <w:rPr>
          <w:rFonts w:ascii="微软雅黑" w:eastAsia="微软雅黑" w:hAnsi="微软雅黑" w:hint="eastAsia"/>
          <w:szCs w:val="21"/>
        </w:rPr>
        <w:t>客户</w:t>
      </w:r>
      <w:r>
        <w:rPr>
          <w:rFonts w:ascii="微软雅黑" w:eastAsia="微软雅黑" w:hAnsi="微软雅黑"/>
          <w:szCs w:val="21"/>
        </w:rPr>
        <w:t>应在</w:t>
      </w:r>
      <w:r>
        <w:rPr>
          <w:rFonts w:ascii="微软雅黑" w:eastAsia="微软雅黑" w:hAnsi="微软雅黑" w:hint="eastAsia"/>
          <w:szCs w:val="21"/>
        </w:rPr>
        <w:t>产品</w:t>
      </w:r>
      <w:r>
        <w:rPr>
          <w:rFonts w:ascii="微软雅黑" w:eastAsia="微软雅黑" w:hAnsi="微软雅黑"/>
          <w:szCs w:val="21"/>
        </w:rPr>
        <w:t>成立后及时查询最终成交确认情况和认购的份额；</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w:t>
      </w:r>
      <w:r>
        <w:rPr>
          <w:rFonts w:ascii="微软雅黑" w:eastAsia="微软雅黑" w:hAnsi="微软雅黑"/>
          <w:szCs w:val="21"/>
        </w:rPr>
        <w:t>3</w:t>
      </w:r>
      <w:r>
        <w:rPr>
          <w:rFonts w:ascii="微软雅黑" w:eastAsia="微软雅黑" w:hAnsi="微软雅黑"/>
          <w:szCs w:val="21"/>
        </w:rPr>
        <w:t>）认购撤单：</w:t>
      </w:r>
      <w:r>
        <w:rPr>
          <w:rFonts w:ascii="微软雅黑" w:eastAsia="微软雅黑" w:hAnsi="微软雅黑" w:hint="eastAsia"/>
          <w:szCs w:val="21"/>
        </w:rPr>
        <w:t>认购</w:t>
      </w:r>
      <w:r>
        <w:rPr>
          <w:rFonts w:ascii="微软雅黑" w:eastAsia="微软雅黑" w:hAnsi="微软雅黑"/>
          <w:szCs w:val="21"/>
        </w:rPr>
        <w:t>期内允许全部或者部分撤销已递交的认购申请，部分撤销只适用于</w:t>
      </w:r>
      <w:r>
        <w:rPr>
          <w:rFonts w:ascii="微软雅黑" w:eastAsia="微软雅黑" w:hAnsi="微软雅黑" w:hint="eastAsia"/>
          <w:szCs w:val="21"/>
        </w:rPr>
        <w:t>客户</w:t>
      </w:r>
      <w:r>
        <w:rPr>
          <w:rFonts w:ascii="微软雅黑" w:eastAsia="微软雅黑" w:hAnsi="微软雅黑"/>
          <w:szCs w:val="21"/>
        </w:rPr>
        <w:t>多次认购的情况，</w:t>
      </w:r>
      <w:r>
        <w:rPr>
          <w:rFonts w:ascii="微软雅黑" w:eastAsia="微软雅黑" w:hAnsi="微软雅黑" w:hint="eastAsia"/>
          <w:szCs w:val="21"/>
        </w:rPr>
        <w:t>客户</w:t>
      </w:r>
      <w:r>
        <w:rPr>
          <w:rFonts w:ascii="微软雅黑" w:eastAsia="微软雅黑" w:hAnsi="微软雅黑"/>
          <w:szCs w:val="21"/>
        </w:rPr>
        <w:t>必须对应每笔认购的份额逐笔撤销</w:t>
      </w:r>
      <w:r>
        <w:rPr>
          <w:rFonts w:ascii="微软雅黑" w:eastAsia="微软雅黑" w:hAnsi="微软雅黑" w:hint="eastAsia"/>
          <w:szCs w:val="21"/>
        </w:rPr>
        <w:t>，</w:t>
      </w:r>
      <w:r>
        <w:rPr>
          <w:rFonts w:ascii="微软雅黑" w:eastAsia="微软雅黑" w:hAnsi="微软雅黑"/>
          <w:szCs w:val="21"/>
        </w:rPr>
        <w:t>部分撤销后剩余的各笔认购份额总和不得低于</w:t>
      </w:r>
      <w:r>
        <w:rPr>
          <w:rFonts w:ascii="微软雅黑" w:eastAsia="微软雅黑" w:hAnsi="微软雅黑" w:hint="eastAsia"/>
          <w:szCs w:val="21"/>
        </w:rPr>
        <w:t>1</w:t>
      </w:r>
      <w:r>
        <w:rPr>
          <w:rFonts w:ascii="微软雅黑" w:eastAsia="微软雅黑" w:hAnsi="微软雅黑"/>
          <w:szCs w:val="21"/>
        </w:rPr>
        <w:t>万份；</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hint="eastAsia"/>
          <w:szCs w:val="21"/>
        </w:rPr>
        <w:t>4</w:t>
      </w:r>
      <w:r>
        <w:rPr>
          <w:rFonts w:ascii="微软雅黑" w:eastAsia="微软雅黑" w:hAnsi="微软雅黑" w:hint="eastAsia"/>
          <w:szCs w:val="21"/>
        </w:rPr>
        <w:t>）客户</w:t>
      </w:r>
      <w:r>
        <w:rPr>
          <w:rFonts w:ascii="微软雅黑" w:eastAsia="微软雅黑" w:hAnsi="微软雅黑"/>
          <w:szCs w:val="21"/>
        </w:rPr>
        <w:t>在</w:t>
      </w:r>
      <w:r>
        <w:rPr>
          <w:rFonts w:ascii="微软雅黑" w:eastAsia="微软雅黑" w:hAnsi="微软雅黑" w:hint="eastAsia"/>
          <w:szCs w:val="21"/>
        </w:rPr>
        <w:t>认购</w:t>
      </w:r>
      <w:r>
        <w:rPr>
          <w:rFonts w:ascii="微软雅黑" w:eastAsia="微软雅黑" w:hAnsi="微软雅黑"/>
          <w:szCs w:val="21"/>
        </w:rPr>
        <w:t>期内</w:t>
      </w:r>
      <w:r>
        <w:rPr>
          <w:rFonts w:ascii="微软雅黑" w:eastAsia="微软雅黑" w:hAnsi="微软雅黑" w:hint="eastAsia"/>
          <w:szCs w:val="21"/>
        </w:rPr>
        <w:t>认购成功后资金将被冻结，但仍按</w:t>
      </w:r>
      <w:r>
        <w:rPr>
          <w:rFonts w:ascii="微软雅黑" w:eastAsia="微软雅黑" w:hAnsi="微软雅黑"/>
          <w:szCs w:val="21"/>
        </w:rPr>
        <w:t>照珠海华润银行公布的活期存款利率为认购</w:t>
      </w:r>
      <w:r>
        <w:rPr>
          <w:rFonts w:ascii="微软雅黑" w:eastAsia="微软雅黑" w:hAnsi="微软雅黑" w:hint="eastAsia"/>
          <w:szCs w:val="21"/>
        </w:rPr>
        <w:t>资金</w:t>
      </w:r>
      <w:r>
        <w:rPr>
          <w:rFonts w:ascii="微软雅黑" w:eastAsia="微软雅黑" w:hAnsi="微软雅黑"/>
          <w:szCs w:val="21"/>
        </w:rPr>
        <w:t>计息</w:t>
      </w:r>
      <w:r>
        <w:rPr>
          <w:rFonts w:ascii="微软雅黑" w:eastAsia="微软雅黑" w:hAnsi="微软雅黑" w:hint="eastAsia"/>
          <w:szCs w:val="21"/>
        </w:rPr>
        <w:t>，认购期内利息不计入认购本金。</w:t>
      </w:r>
      <w:r>
        <w:rPr>
          <w:rFonts w:ascii="微软雅黑" w:eastAsia="微软雅黑" w:hAnsi="微软雅黑"/>
          <w:szCs w:val="21"/>
        </w:rPr>
        <w:t>如</w:t>
      </w:r>
      <w:r>
        <w:rPr>
          <w:rFonts w:ascii="微软雅黑" w:eastAsia="微软雅黑" w:hAnsi="微软雅黑" w:hint="eastAsia"/>
          <w:szCs w:val="21"/>
        </w:rPr>
        <w:t>认</w:t>
      </w:r>
      <w:r>
        <w:rPr>
          <w:rFonts w:ascii="微软雅黑" w:eastAsia="微软雅黑" w:hAnsi="微软雅黑"/>
          <w:szCs w:val="21"/>
        </w:rPr>
        <w:t>购</w:t>
      </w:r>
      <w:r>
        <w:rPr>
          <w:rFonts w:ascii="微软雅黑" w:eastAsia="微软雅黑" w:hAnsi="微软雅黑" w:hint="eastAsia"/>
          <w:szCs w:val="21"/>
        </w:rPr>
        <w:t>不</w:t>
      </w:r>
      <w:r>
        <w:rPr>
          <w:rFonts w:ascii="微软雅黑" w:eastAsia="微软雅黑" w:hAnsi="微软雅黑"/>
          <w:szCs w:val="21"/>
        </w:rPr>
        <w:t>成功，被冻结的理财资金在产品原定</w:t>
      </w:r>
      <w:r>
        <w:rPr>
          <w:rFonts w:ascii="微软雅黑" w:eastAsia="微软雅黑" w:hAnsi="微软雅黑" w:hint="eastAsia"/>
          <w:szCs w:val="21"/>
        </w:rPr>
        <w:t>认购期结束</w:t>
      </w:r>
      <w:r>
        <w:rPr>
          <w:rFonts w:ascii="微软雅黑" w:eastAsia="微软雅黑" w:hAnsi="微软雅黑"/>
          <w:szCs w:val="21"/>
        </w:rPr>
        <w:t>后的</w:t>
      </w:r>
      <w:r>
        <w:rPr>
          <w:rFonts w:ascii="微软雅黑" w:eastAsia="微软雅黑" w:hAnsi="微软雅黑" w:hint="eastAsia"/>
          <w:szCs w:val="21"/>
        </w:rPr>
        <w:t>3</w:t>
      </w:r>
      <w:r>
        <w:rPr>
          <w:rFonts w:ascii="微软雅黑" w:eastAsia="微软雅黑" w:hAnsi="微软雅黑"/>
          <w:szCs w:val="21"/>
        </w:rPr>
        <w:t>个工作日内解冻；如</w:t>
      </w:r>
      <w:r>
        <w:rPr>
          <w:rFonts w:ascii="微软雅黑" w:eastAsia="微软雅黑" w:hAnsi="微软雅黑" w:hint="eastAsia"/>
          <w:szCs w:val="21"/>
        </w:rPr>
        <w:t>认</w:t>
      </w:r>
      <w:r>
        <w:rPr>
          <w:rFonts w:ascii="微软雅黑" w:eastAsia="微软雅黑" w:hAnsi="微软雅黑"/>
          <w:szCs w:val="21"/>
        </w:rPr>
        <w:t>购</w:t>
      </w:r>
      <w:r>
        <w:rPr>
          <w:rFonts w:ascii="微软雅黑" w:eastAsia="微软雅黑" w:hAnsi="微软雅黑" w:hint="eastAsia"/>
          <w:szCs w:val="21"/>
        </w:rPr>
        <w:t>成功</w:t>
      </w:r>
      <w:r>
        <w:rPr>
          <w:rFonts w:ascii="微软雅黑" w:eastAsia="微软雅黑" w:hAnsi="微软雅黑"/>
          <w:szCs w:val="21"/>
        </w:rPr>
        <w:t>，被冻结的理财资金划转至产品募集账户。</w:t>
      </w: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（二）产品成立</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szCs w:val="21"/>
        </w:rPr>
        <w:t>在认购期内，未发生影响产品</w:t>
      </w:r>
      <w:proofErr w:type="gramStart"/>
      <w:r>
        <w:rPr>
          <w:rFonts w:ascii="微软雅黑" w:eastAsia="微软雅黑" w:hAnsi="微软雅黑" w:hint="eastAsia"/>
          <w:szCs w:val="21"/>
        </w:rPr>
        <w:t>正常成立</w:t>
      </w:r>
      <w:proofErr w:type="gramEnd"/>
      <w:r>
        <w:rPr>
          <w:rFonts w:ascii="微软雅黑" w:eastAsia="微软雅黑" w:hAnsi="微软雅黑" w:hint="eastAsia"/>
          <w:szCs w:val="21"/>
        </w:rPr>
        <w:t>的任何异常事件，产品正常成立。</w:t>
      </w:r>
    </w:p>
    <w:p w:rsidR="00392D7E" w:rsidRDefault="00D24908">
      <w:pPr>
        <w:spacing w:line="320" w:lineRule="exact"/>
        <w:ind w:firstLine="420"/>
        <w:rPr>
          <w:rFonts w:ascii="微软雅黑" w:eastAsia="微软雅黑" w:hAnsi="微软雅黑"/>
          <w:szCs w:val="21"/>
        </w:rPr>
      </w:pPr>
      <w:r>
        <w:rPr>
          <w:rFonts w:ascii="微软雅黑" w:eastAsia="微软雅黑" w:hAnsi="微软雅黑" w:hint="eastAsia"/>
          <w:szCs w:val="21"/>
        </w:rPr>
        <w:t>珠海华润银</w:t>
      </w:r>
      <w:r>
        <w:rPr>
          <w:rFonts w:ascii="微软雅黑" w:eastAsia="微软雅黑" w:hAnsi="微软雅黑" w:hint="eastAsia"/>
          <w:szCs w:val="21"/>
        </w:rPr>
        <w:t>行有权提前结束认购并提前成立，产品提前成立时珠海华润银行将发布公告并调整相关日期，产品最终发行量以实际募集金额为准。</w:t>
      </w:r>
    </w:p>
    <w:p w:rsidR="00392D7E" w:rsidRDefault="00D24908">
      <w:pPr>
        <w:spacing w:line="320" w:lineRule="exact"/>
        <w:ind w:firstLineChars="200" w:firstLine="420"/>
        <w:rPr>
          <w:rFonts w:ascii="微软雅黑" w:eastAsia="微软雅黑" w:hAnsi="微软雅黑" w:cs="Arial"/>
          <w:b/>
          <w:szCs w:val="21"/>
        </w:rPr>
      </w:pPr>
      <w:r>
        <w:rPr>
          <w:rFonts w:ascii="微软雅黑" w:eastAsia="微软雅黑" w:hAnsi="微软雅黑" w:hint="eastAsia"/>
          <w:szCs w:val="21"/>
        </w:rPr>
        <w:t>如果市场发生不利情况，珠海华润银行有权宣布本产品不成立。客户被冻结的认购资金在</w:t>
      </w:r>
      <w:r>
        <w:rPr>
          <w:rFonts w:ascii="微软雅黑" w:eastAsia="微软雅黑" w:hAnsi="微软雅黑" w:hint="eastAsia"/>
        </w:rPr>
        <w:t>产品原定成立日</w:t>
      </w:r>
      <w:r>
        <w:rPr>
          <w:rFonts w:ascii="微软雅黑" w:eastAsia="微软雅黑" w:hAnsi="微软雅黑" w:hint="eastAsia"/>
          <w:szCs w:val="21"/>
        </w:rPr>
        <w:t>后的</w:t>
      </w:r>
      <w:r>
        <w:rPr>
          <w:rFonts w:ascii="微软雅黑" w:eastAsia="微软雅黑" w:hAnsi="微软雅黑" w:hint="eastAsia"/>
          <w:szCs w:val="21"/>
        </w:rPr>
        <w:t>3</w:t>
      </w:r>
      <w:r>
        <w:rPr>
          <w:rFonts w:ascii="微软雅黑" w:eastAsia="微软雅黑" w:hAnsi="微软雅黑" w:hint="eastAsia"/>
          <w:szCs w:val="21"/>
        </w:rPr>
        <w:t>个工作日内解冻。</w:t>
      </w:r>
    </w:p>
    <w:p w:rsidR="00392D7E" w:rsidRDefault="00392D7E">
      <w:pPr>
        <w:adjustRightInd w:val="0"/>
        <w:snapToGrid w:val="0"/>
        <w:spacing w:line="320" w:lineRule="exact"/>
        <w:ind w:left="454"/>
        <w:rPr>
          <w:rFonts w:ascii="微软雅黑" w:eastAsia="微软雅黑" w:hAnsi="微软雅黑" w:cs="Arial"/>
          <w:b/>
          <w:szCs w:val="21"/>
        </w:rPr>
      </w:pP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五、理财产品</w:t>
      </w:r>
      <w:r>
        <w:rPr>
          <w:rFonts w:ascii="微软雅黑" w:eastAsia="微软雅黑" w:hAnsi="微软雅黑" w:cs="Arial"/>
          <w:b/>
          <w:szCs w:val="21"/>
        </w:rPr>
        <w:t>到期</w:t>
      </w:r>
      <w:r>
        <w:rPr>
          <w:rFonts w:ascii="微软雅黑" w:eastAsia="微软雅黑" w:hAnsi="微软雅黑" w:cs="Arial" w:hint="eastAsia"/>
          <w:b/>
          <w:szCs w:val="21"/>
        </w:rPr>
        <w:t>及提前终止</w:t>
      </w: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（一）产品到期</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1.</w:t>
      </w:r>
      <w:r>
        <w:rPr>
          <w:rFonts w:ascii="微软雅黑" w:eastAsia="微软雅黑" w:hAnsi="微软雅黑"/>
          <w:szCs w:val="21"/>
        </w:rPr>
        <w:t>本理财</w:t>
      </w:r>
      <w:r>
        <w:rPr>
          <w:rFonts w:ascii="微软雅黑" w:eastAsia="微软雅黑" w:hAnsi="微软雅黑" w:hint="eastAsia"/>
          <w:szCs w:val="21"/>
        </w:rPr>
        <w:t>产品</w:t>
      </w:r>
      <w:r>
        <w:rPr>
          <w:rFonts w:ascii="微软雅黑" w:eastAsia="微软雅黑" w:hAnsi="微软雅黑"/>
          <w:szCs w:val="21"/>
        </w:rPr>
        <w:t>到期日为</w:t>
      </w:r>
      <w:r>
        <w:rPr>
          <w:rFonts w:ascii="微软雅黑" w:eastAsia="微软雅黑" w:hAnsi="微软雅黑" w:hint="eastAsia"/>
          <w:szCs w:val="21"/>
        </w:rPr>
        <w:t>2023</w:t>
      </w:r>
      <w:r>
        <w:rPr>
          <w:rFonts w:ascii="微软雅黑" w:eastAsia="微软雅黑" w:hAnsi="微软雅黑" w:hint="eastAsia"/>
          <w:szCs w:val="21"/>
        </w:rPr>
        <w:t>年</w:t>
      </w:r>
      <w:r>
        <w:rPr>
          <w:rFonts w:ascii="微软雅黑" w:eastAsia="微软雅黑" w:hAnsi="微软雅黑" w:hint="eastAsia"/>
          <w:szCs w:val="21"/>
        </w:rPr>
        <w:t>01</w:t>
      </w:r>
      <w:r>
        <w:rPr>
          <w:rFonts w:ascii="微软雅黑" w:eastAsia="微软雅黑" w:hAnsi="微软雅黑" w:hint="eastAsia"/>
          <w:szCs w:val="21"/>
        </w:rPr>
        <w:t>月</w:t>
      </w:r>
      <w:r>
        <w:rPr>
          <w:rFonts w:ascii="微软雅黑" w:eastAsia="微软雅黑" w:hAnsi="微软雅黑" w:hint="eastAsia"/>
          <w:szCs w:val="21"/>
        </w:rPr>
        <w:t>10</w:t>
      </w:r>
      <w:r>
        <w:rPr>
          <w:rFonts w:ascii="微软雅黑" w:eastAsia="微软雅黑" w:hAnsi="微软雅黑" w:hint="eastAsia"/>
          <w:szCs w:val="21"/>
        </w:rPr>
        <w:t>日（以实际到期日为准）</w:t>
      </w:r>
      <w:r>
        <w:rPr>
          <w:rFonts w:ascii="微软雅黑" w:eastAsia="微软雅黑" w:hAnsi="微软雅黑"/>
          <w:szCs w:val="21"/>
        </w:rPr>
        <w:t>，逢节假日顺延。</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2.</w:t>
      </w:r>
      <w:r>
        <w:rPr>
          <w:rFonts w:ascii="微软雅黑" w:eastAsia="微软雅黑" w:hAnsi="微软雅黑" w:hint="eastAsia"/>
          <w:szCs w:val="21"/>
        </w:rPr>
        <w:t>客户</w:t>
      </w:r>
      <w:r>
        <w:rPr>
          <w:rFonts w:ascii="微软雅黑" w:eastAsia="微软雅黑" w:hAnsi="微软雅黑"/>
          <w:szCs w:val="21"/>
        </w:rPr>
        <w:t>持有本理财</w:t>
      </w:r>
      <w:r>
        <w:rPr>
          <w:rFonts w:ascii="微软雅黑" w:eastAsia="微软雅黑" w:hAnsi="微软雅黑" w:hint="eastAsia"/>
          <w:szCs w:val="21"/>
        </w:rPr>
        <w:t>产品</w:t>
      </w:r>
      <w:r>
        <w:rPr>
          <w:rFonts w:ascii="微软雅黑" w:eastAsia="微软雅黑" w:hAnsi="微软雅黑"/>
          <w:szCs w:val="21"/>
        </w:rPr>
        <w:t>到期时，珠海华润银行不承诺保证本金，</w:t>
      </w:r>
      <w:r>
        <w:rPr>
          <w:rFonts w:ascii="微软雅黑" w:eastAsia="微软雅黑" w:hAnsi="微软雅黑" w:hint="eastAsia"/>
          <w:szCs w:val="21"/>
        </w:rPr>
        <w:t>客户</w:t>
      </w:r>
      <w:r>
        <w:rPr>
          <w:rFonts w:ascii="微软雅黑" w:eastAsia="微软雅黑" w:hAnsi="微软雅黑"/>
          <w:szCs w:val="21"/>
        </w:rPr>
        <w:t>在到期日的应得资金随投资盈亏水平浮动。</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szCs w:val="21"/>
        </w:rPr>
        <w:t>3.</w:t>
      </w:r>
      <w:r>
        <w:rPr>
          <w:rFonts w:ascii="微软雅黑" w:eastAsia="微软雅黑" w:hAnsi="微软雅黑"/>
          <w:szCs w:val="21"/>
        </w:rPr>
        <w:t>理财</w:t>
      </w:r>
      <w:r>
        <w:rPr>
          <w:rFonts w:ascii="微软雅黑" w:eastAsia="微软雅黑" w:hAnsi="微软雅黑" w:hint="eastAsia"/>
          <w:szCs w:val="21"/>
        </w:rPr>
        <w:t>产品</w:t>
      </w:r>
      <w:r>
        <w:rPr>
          <w:rFonts w:ascii="微软雅黑" w:eastAsia="微软雅黑" w:hAnsi="微软雅黑"/>
          <w:szCs w:val="21"/>
        </w:rPr>
        <w:t>到期时，如理财</w:t>
      </w:r>
      <w:r>
        <w:rPr>
          <w:rFonts w:ascii="微软雅黑" w:eastAsia="微软雅黑" w:hAnsi="微软雅黑" w:hint="eastAsia"/>
          <w:szCs w:val="21"/>
        </w:rPr>
        <w:t>产品</w:t>
      </w:r>
      <w:r>
        <w:rPr>
          <w:rFonts w:ascii="微软雅黑" w:eastAsia="微软雅黑" w:hAnsi="微软雅黑"/>
          <w:szCs w:val="21"/>
        </w:rPr>
        <w:t>项下财产全部变现，珠海华润银行在</w:t>
      </w:r>
      <w:r>
        <w:rPr>
          <w:rFonts w:ascii="微软雅黑" w:eastAsia="微软雅黑" w:hAnsi="微软雅黑" w:hint="eastAsia"/>
          <w:szCs w:val="21"/>
        </w:rPr>
        <w:t>产品</w:t>
      </w:r>
      <w:r>
        <w:rPr>
          <w:rFonts w:ascii="微软雅黑" w:eastAsia="微软雅黑" w:hAnsi="微软雅黑"/>
          <w:szCs w:val="21"/>
        </w:rPr>
        <w:t>到期日后</w:t>
      </w:r>
      <w:r>
        <w:rPr>
          <w:rFonts w:ascii="微软雅黑" w:eastAsia="微软雅黑" w:hAnsi="微软雅黑" w:hint="eastAsia"/>
          <w:szCs w:val="21"/>
        </w:rPr>
        <w:t>3</w:t>
      </w:r>
      <w:r>
        <w:rPr>
          <w:rFonts w:ascii="微软雅黑" w:eastAsia="微软雅黑" w:hAnsi="微软雅黑"/>
          <w:szCs w:val="21"/>
        </w:rPr>
        <w:t>个工作日内将</w:t>
      </w:r>
      <w:r>
        <w:rPr>
          <w:rFonts w:ascii="微软雅黑" w:eastAsia="微软雅黑" w:hAnsi="微软雅黑" w:hint="eastAsia"/>
          <w:szCs w:val="21"/>
        </w:rPr>
        <w:t>客户</w:t>
      </w:r>
      <w:r>
        <w:rPr>
          <w:rFonts w:ascii="微软雅黑" w:eastAsia="微软雅黑" w:hAnsi="微软雅黑"/>
          <w:szCs w:val="21"/>
        </w:rPr>
        <w:t>应得资金划转至</w:t>
      </w:r>
      <w:r>
        <w:rPr>
          <w:rFonts w:ascii="微软雅黑" w:eastAsia="微软雅黑" w:hAnsi="微软雅黑" w:hint="eastAsia"/>
          <w:szCs w:val="21"/>
        </w:rPr>
        <w:t>客户</w:t>
      </w:r>
      <w:r>
        <w:rPr>
          <w:rFonts w:ascii="微软雅黑" w:eastAsia="微软雅黑" w:hAnsi="微软雅黑"/>
          <w:szCs w:val="21"/>
        </w:rPr>
        <w:t>指定账户。理财</w:t>
      </w:r>
      <w:r>
        <w:rPr>
          <w:rFonts w:ascii="微软雅黑" w:eastAsia="微软雅黑" w:hAnsi="微软雅黑" w:hint="eastAsia"/>
          <w:szCs w:val="21"/>
        </w:rPr>
        <w:t>产品</w:t>
      </w:r>
      <w:r>
        <w:rPr>
          <w:rFonts w:ascii="微软雅黑" w:eastAsia="微软雅黑" w:hAnsi="微软雅黑"/>
          <w:szCs w:val="21"/>
        </w:rPr>
        <w:t>到期</w:t>
      </w:r>
      <w:r>
        <w:rPr>
          <w:rFonts w:ascii="微软雅黑" w:eastAsia="微软雅黑" w:hAnsi="微软雅黑" w:hint="eastAsia"/>
          <w:szCs w:val="21"/>
        </w:rPr>
        <w:t>时</w:t>
      </w:r>
      <w:r>
        <w:rPr>
          <w:rFonts w:ascii="微软雅黑" w:eastAsia="微软雅黑" w:hAnsi="微软雅黑"/>
          <w:szCs w:val="21"/>
        </w:rPr>
        <w:t>，如</w:t>
      </w:r>
      <w:r>
        <w:rPr>
          <w:rFonts w:ascii="微软雅黑" w:eastAsia="微软雅黑" w:hAnsi="微软雅黑" w:hint="eastAsia"/>
          <w:szCs w:val="21"/>
        </w:rPr>
        <w:t>产品</w:t>
      </w:r>
      <w:r>
        <w:rPr>
          <w:rFonts w:ascii="微软雅黑" w:eastAsia="微软雅黑" w:hAnsi="微软雅黑"/>
          <w:szCs w:val="21"/>
        </w:rPr>
        <w:t>项下部分或全部资产因客观原因暂停交易或暂时无法变现，</w:t>
      </w:r>
      <w:r>
        <w:rPr>
          <w:rFonts w:ascii="微软雅黑" w:eastAsia="微软雅黑" w:hAnsi="微软雅黑" w:hint="eastAsia"/>
          <w:szCs w:val="21"/>
        </w:rPr>
        <w:t>珠海华润银行</w:t>
      </w:r>
      <w:r>
        <w:rPr>
          <w:rFonts w:ascii="微软雅黑" w:eastAsia="微软雅黑" w:hAnsi="微软雅黑"/>
          <w:szCs w:val="21"/>
        </w:rPr>
        <w:t>可将可供分配的现金资产按照理财</w:t>
      </w:r>
      <w:r>
        <w:rPr>
          <w:rFonts w:ascii="微软雅黑" w:eastAsia="微软雅黑" w:hAnsi="微软雅黑" w:hint="eastAsia"/>
          <w:szCs w:val="21"/>
        </w:rPr>
        <w:t>产品</w:t>
      </w:r>
      <w:r>
        <w:rPr>
          <w:rFonts w:ascii="微软雅黑" w:eastAsia="微软雅黑" w:hAnsi="微软雅黑"/>
          <w:szCs w:val="21"/>
        </w:rPr>
        <w:t>投资的认购金额比例进行分配，将暂时无法变现的其他投资组合资产恢复交易或通过其他途径变现后，管理人再就该部分资产进行分配。本理财</w:t>
      </w:r>
      <w:r>
        <w:rPr>
          <w:rFonts w:ascii="微软雅黑" w:eastAsia="微软雅黑" w:hAnsi="微软雅黑" w:hint="eastAsia"/>
          <w:szCs w:val="21"/>
        </w:rPr>
        <w:t>产品</w:t>
      </w:r>
      <w:r>
        <w:rPr>
          <w:rFonts w:ascii="微软雅黑" w:eastAsia="微软雅黑" w:hAnsi="微软雅黑"/>
          <w:szCs w:val="21"/>
        </w:rPr>
        <w:t>的到期日</w:t>
      </w:r>
      <w:r>
        <w:rPr>
          <w:rFonts w:ascii="微软雅黑" w:eastAsia="微软雅黑" w:hAnsi="微软雅黑" w:hint="eastAsia"/>
          <w:szCs w:val="21"/>
        </w:rPr>
        <w:t>及投资者持有的产品期限</w:t>
      </w:r>
      <w:r>
        <w:rPr>
          <w:rFonts w:ascii="微软雅黑" w:eastAsia="微软雅黑" w:hAnsi="微软雅黑"/>
          <w:szCs w:val="21"/>
        </w:rPr>
        <w:t>将相应延长</w:t>
      </w:r>
      <w:r>
        <w:rPr>
          <w:rFonts w:ascii="微软雅黑" w:eastAsia="微软雅黑" w:hAnsi="微软雅黑" w:hint="eastAsia"/>
          <w:szCs w:val="21"/>
        </w:rPr>
        <w:t>，具体请以珠海华润银行公告为准。</w:t>
      </w: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（二）提前终止</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本理财产品成立后，如出现但不限于如下情形，珠海华润银行在提前公告的情况下，有权但无</w:t>
      </w:r>
      <w:r>
        <w:rPr>
          <w:rFonts w:ascii="微软雅黑" w:eastAsia="微软雅黑" w:hAnsi="微软雅黑" w:hint="eastAsia"/>
          <w:szCs w:val="21"/>
        </w:rPr>
        <w:t>义务提前全部终止或提前部分终止本产品，并对提前终止的该部分理财产品份额所对应的本金和收益（如有）进行分配。在提前终止日后</w:t>
      </w:r>
      <w:r>
        <w:rPr>
          <w:rFonts w:ascii="微软雅黑" w:eastAsia="微软雅黑" w:hAnsi="微软雅黑" w:hint="eastAsia"/>
          <w:szCs w:val="21"/>
        </w:rPr>
        <w:t>3</w:t>
      </w:r>
      <w:r>
        <w:rPr>
          <w:rFonts w:ascii="微软雅黑" w:eastAsia="微软雅黑" w:hAnsi="微软雅黑" w:hint="eastAsia"/>
          <w:szCs w:val="21"/>
        </w:rPr>
        <w:t>个工作日内将被分配资金划转至客</w:t>
      </w:r>
      <w:r>
        <w:rPr>
          <w:rFonts w:ascii="微软雅黑" w:eastAsia="微软雅黑" w:hAnsi="微软雅黑" w:hint="eastAsia"/>
          <w:szCs w:val="21"/>
        </w:rPr>
        <w:lastRenderedPageBreak/>
        <w:t>户指定账户。若客户持有的该理财产品份额被冻结，被冻结的份额将不参与部分提前终止。</w:t>
      </w:r>
    </w:p>
    <w:p w:rsidR="00392D7E" w:rsidRDefault="00D24908">
      <w:pPr>
        <w:pStyle w:val="ab"/>
        <w:numPr>
          <w:ilvl w:val="255"/>
          <w:numId w:val="0"/>
        </w:numPr>
        <w:spacing w:line="320" w:lineRule="exact"/>
        <w:ind w:left="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因不可抗力因素导致本理财产品无法继续运作；</w:t>
      </w:r>
    </w:p>
    <w:p w:rsidR="00392D7E" w:rsidRDefault="00D24908">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2</w:t>
      </w:r>
      <w:r>
        <w:rPr>
          <w:rFonts w:ascii="微软雅黑" w:eastAsia="微软雅黑" w:hAnsi="微软雅黑" w:hint="eastAsia"/>
          <w:szCs w:val="21"/>
        </w:rPr>
        <w:t>遇有市场剧烈波动、异常风险事件等情形导致理财产品净值出现大幅波动或严重影响理财产品的资产安全；</w:t>
      </w:r>
    </w:p>
    <w:p w:rsidR="00392D7E" w:rsidRDefault="00D24908">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3.</w:t>
      </w:r>
      <w:r>
        <w:rPr>
          <w:rFonts w:ascii="微软雅黑" w:eastAsia="微软雅黑" w:hAnsi="微软雅黑" w:hint="eastAsia"/>
          <w:szCs w:val="21"/>
        </w:rPr>
        <w:t>因相关投资管理机构解散、破产、撤销、被取消业务资格等原因无法继续履行相应职责导致产品无法继续运作；</w:t>
      </w:r>
    </w:p>
    <w:p w:rsidR="00392D7E" w:rsidRDefault="00D24908">
      <w:pPr>
        <w:spacing w:line="320" w:lineRule="exact"/>
        <w:ind w:firstLineChars="200" w:firstLine="420"/>
        <w:jc w:val="left"/>
        <w:rPr>
          <w:rFonts w:ascii="微软雅黑" w:eastAsia="微软雅黑" w:hAnsi="微软雅黑"/>
          <w:szCs w:val="21"/>
        </w:rPr>
      </w:pPr>
      <w:r>
        <w:rPr>
          <w:rFonts w:ascii="微软雅黑" w:eastAsia="微软雅黑" w:hAnsi="微软雅黑"/>
          <w:szCs w:val="21"/>
        </w:rPr>
        <w:t>4.</w:t>
      </w:r>
      <w:r>
        <w:rPr>
          <w:rFonts w:ascii="微软雅黑" w:eastAsia="微软雅黑" w:hAnsi="微软雅黑" w:hint="eastAsia"/>
          <w:szCs w:val="21"/>
        </w:rPr>
        <w:t>因法律法规变化或国家金融政策调整、紧急措施出台影响产品继续正常运作；</w:t>
      </w:r>
    </w:p>
    <w:p w:rsidR="00392D7E" w:rsidRDefault="00D24908">
      <w:pPr>
        <w:spacing w:line="320" w:lineRule="exact"/>
        <w:ind w:firstLineChars="200" w:firstLine="420"/>
        <w:jc w:val="lef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因理财产品投资的资产提前到期或部分提前到期，进而影响到产品收益，为最大限度保护投资者利益，珠海华润银行经合理判断提前全部终止或提前部分终止的情形；</w:t>
      </w:r>
    </w:p>
    <w:p w:rsidR="00392D7E" w:rsidRDefault="00D24908">
      <w:pPr>
        <w:spacing w:line="320" w:lineRule="exact"/>
        <w:ind w:firstLineChars="200" w:firstLine="420"/>
        <w:rPr>
          <w:rFonts w:ascii="微软雅黑" w:eastAsia="微软雅黑" w:hAnsi="微软雅黑"/>
          <w:b/>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法律法规规定或监管部门认定的其他情形。</w:t>
      </w:r>
    </w:p>
    <w:p w:rsidR="00392D7E" w:rsidRDefault="00392D7E">
      <w:pPr>
        <w:adjustRightInd w:val="0"/>
        <w:snapToGrid w:val="0"/>
        <w:spacing w:line="320" w:lineRule="exact"/>
        <w:rPr>
          <w:rFonts w:ascii="微软雅黑" w:eastAsia="微软雅黑" w:hAnsi="微软雅黑" w:cs="Arial"/>
          <w:b/>
          <w:szCs w:val="21"/>
        </w:rPr>
      </w:pP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六、理财产品收益测算</w:t>
      </w:r>
    </w:p>
    <w:p w:rsidR="00392D7E" w:rsidRDefault="00D24908">
      <w:pPr>
        <w:adjustRightInd w:val="0"/>
        <w:snapToGrid w:val="0"/>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假设本理财产品期限</w:t>
      </w:r>
      <w:r>
        <w:rPr>
          <w:rFonts w:ascii="微软雅黑" w:eastAsia="微软雅黑" w:hAnsi="微软雅黑"/>
          <w:szCs w:val="21"/>
        </w:rPr>
        <w:t>36</w:t>
      </w:r>
      <w:r>
        <w:rPr>
          <w:rFonts w:ascii="微软雅黑" w:eastAsia="微软雅黑" w:hAnsi="微软雅黑" w:hint="eastAsia"/>
          <w:szCs w:val="21"/>
        </w:rPr>
        <w:t>0</w:t>
      </w:r>
      <w:r>
        <w:rPr>
          <w:rFonts w:ascii="微软雅黑" w:eastAsia="微软雅黑" w:hAnsi="微软雅黑" w:hint="eastAsia"/>
          <w:szCs w:val="21"/>
        </w:rPr>
        <w:t>天，业绩比较基准</w:t>
      </w:r>
      <w:r>
        <w:rPr>
          <w:rFonts w:ascii="微软雅黑" w:eastAsia="微软雅黑" w:hAnsi="微软雅黑"/>
          <w:szCs w:val="21"/>
        </w:rPr>
        <w:t>5.0%</w:t>
      </w:r>
      <w:r>
        <w:rPr>
          <w:rFonts w:ascii="微软雅黑" w:eastAsia="微软雅黑" w:hAnsi="微软雅黑" w:hint="eastAsia"/>
          <w:szCs w:val="21"/>
        </w:rPr>
        <w:t>，固定投资管理费</w:t>
      </w:r>
      <w:r>
        <w:rPr>
          <w:rFonts w:ascii="微软雅黑" w:eastAsia="微软雅黑" w:hAnsi="微软雅黑" w:hint="eastAsia"/>
          <w:szCs w:val="21"/>
        </w:rPr>
        <w:t>0.10%/</w:t>
      </w:r>
      <w:r>
        <w:rPr>
          <w:rFonts w:ascii="微软雅黑" w:eastAsia="微软雅黑" w:hAnsi="微软雅黑" w:hint="eastAsia"/>
          <w:szCs w:val="21"/>
        </w:rPr>
        <w:t>年</w:t>
      </w:r>
      <w:r>
        <w:rPr>
          <w:rFonts w:ascii="微软雅黑" w:eastAsia="微软雅黑" w:hAnsi="微软雅黑" w:hint="eastAsia"/>
          <w:szCs w:val="21"/>
        </w:rPr>
        <w:t>。产品到期后，客户可获得总收益可能存在如下三种情景：</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w:t>
      </w:r>
      <w:proofErr w:type="gramStart"/>
      <w:r>
        <w:rPr>
          <w:rFonts w:ascii="微软雅黑" w:eastAsia="微软雅黑" w:hAnsi="微软雅黑" w:hint="eastAsia"/>
          <w:szCs w:val="21"/>
        </w:rPr>
        <w:t>一</w:t>
      </w:r>
      <w:proofErr w:type="gramEnd"/>
      <w:r>
        <w:rPr>
          <w:rFonts w:ascii="微软雅黑" w:eastAsia="微软雅黑" w:hAnsi="微软雅黑" w:hint="eastAsia"/>
          <w:szCs w:val="21"/>
        </w:rPr>
        <w:t>：扣除产品各项费用（包括不限于托管费、运营服务费、销售手续费和固定投资管理费），投资</w:t>
      </w:r>
      <w:r>
        <w:rPr>
          <w:rFonts w:ascii="微软雅黑" w:eastAsia="微软雅黑" w:hAnsi="微软雅黑" w:hint="eastAsia"/>
          <w:szCs w:val="21"/>
        </w:rPr>
        <w:t>收益超过业绩比较基准。</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w:t>
      </w:r>
      <w:r>
        <w:rPr>
          <w:rFonts w:ascii="微软雅黑" w:eastAsia="微软雅黑" w:hAnsi="微软雅黑" w:hint="eastAsia"/>
          <w:szCs w:val="21"/>
        </w:rPr>
        <w:t>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份（即存续期中未发生提前终止或其他情形），扣除产品各项费用（包括不限于托管费、运营服务费、销售手续费和固定投资管理费）后，如产品净值为</w:t>
      </w:r>
      <w:r>
        <w:rPr>
          <w:rFonts w:ascii="微软雅黑" w:eastAsia="微软雅黑" w:hAnsi="微软雅黑"/>
          <w:szCs w:val="21"/>
        </w:rPr>
        <w:t>1.</w:t>
      </w:r>
      <w:r>
        <w:rPr>
          <w:rFonts w:ascii="微软雅黑" w:eastAsia="微软雅黑" w:hAnsi="微软雅黑" w:hint="eastAsia"/>
          <w:szCs w:val="21"/>
        </w:rPr>
        <w:t>0542</w:t>
      </w:r>
      <w:r>
        <w:rPr>
          <w:rFonts w:ascii="微软雅黑" w:eastAsia="微软雅黑" w:hAnsi="微软雅黑" w:hint="eastAsia"/>
          <w:szCs w:val="21"/>
        </w:rPr>
        <w:t>0000</w:t>
      </w:r>
      <w:r>
        <w:rPr>
          <w:rFonts w:ascii="微软雅黑" w:eastAsia="微软雅黑" w:hAnsi="微软雅黑" w:hint="eastAsia"/>
          <w:szCs w:val="21"/>
        </w:rPr>
        <w:t>，</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hint="eastAsia"/>
          <w:szCs w:val="21"/>
        </w:rPr>
        <w:t>(1.0542</w:t>
      </w:r>
      <w:r>
        <w:rPr>
          <w:rFonts w:ascii="微软雅黑" w:eastAsia="微软雅黑" w:hAnsi="微软雅黑" w:hint="eastAsia"/>
          <w:szCs w:val="21"/>
        </w:rPr>
        <w:t>0000</w:t>
      </w:r>
      <w:r>
        <w:rPr>
          <w:rFonts w:ascii="微软雅黑" w:eastAsia="微软雅黑" w:hAnsi="微软雅黑" w:hint="eastAsia"/>
          <w:szCs w:val="21"/>
        </w:rPr>
        <w:t>/1.0000</w:t>
      </w:r>
      <w:r>
        <w:rPr>
          <w:rFonts w:ascii="微软雅黑" w:eastAsia="微软雅黑" w:hAnsi="微软雅黑" w:hint="eastAsia"/>
          <w:szCs w:val="21"/>
        </w:rPr>
        <w:t>0000</w:t>
      </w:r>
      <w:r>
        <w:rPr>
          <w:rFonts w:ascii="微软雅黑" w:eastAsia="微软雅黑" w:hAnsi="微软雅黑" w:hint="eastAsia"/>
          <w:szCs w:val="21"/>
        </w:rPr>
        <w:t>-1)</w:t>
      </w:r>
      <w:r>
        <w:rPr>
          <w:rFonts w:ascii="微软雅黑" w:eastAsia="微软雅黑" w:hAnsi="微软雅黑" w:hint="eastAsia"/>
          <w:szCs w:val="21"/>
        </w:rPr>
        <w:t>×</w:t>
      </w:r>
      <w:r>
        <w:rPr>
          <w:rFonts w:ascii="微软雅黑" w:eastAsia="微软雅黑" w:hAnsi="微软雅黑" w:hint="eastAsia"/>
          <w:szCs w:val="21"/>
        </w:rPr>
        <w:t>365/360=5.5%&gt;5.0%</w:t>
      </w:r>
      <w:r>
        <w:rPr>
          <w:rFonts w:ascii="微软雅黑" w:eastAsia="微软雅黑" w:hAnsi="微软雅黑" w:hint="eastAsia"/>
          <w:szCs w:val="21"/>
        </w:rPr>
        <w:t>，即投资收益超过业绩比较基准。假设超过的部分作为管理人的浮动投资管理费，则浮动投资管理费为：</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50,000.00</w:t>
      </w:r>
      <w:r>
        <w:rPr>
          <w:rFonts w:ascii="微软雅黑" w:eastAsia="微软雅黑" w:hAnsi="微软雅黑" w:hint="eastAsia"/>
          <w:szCs w:val="21"/>
        </w:rPr>
        <w:t>×</w:t>
      </w:r>
      <w:r>
        <w:rPr>
          <w:rFonts w:ascii="微软雅黑" w:eastAsia="微软雅黑" w:hAnsi="微软雅黑" w:hint="eastAsia"/>
          <w:szCs w:val="21"/>
        </w:rPr>
        <w:t>[1.0542</w:t>
      </w:r>
      <w:r>
        <w:rPr>
          <w:rFonts w:ascii="微软雅黑" w:eastAsia="微软雅黑" w:hAnsi="微软雅黑" w:hint="eastAsia"/>
          <w:szCs w:val="21"/>
        </w:rPr>
        <w:t>0000</w:t>
      </w:r>
      <w:r>
        <w:rPr>
          <w:rFonts w:ascii="微软雅黑" w:eastAsia="微软雅黑" w:hAnsi="微软雅黑" w:hint="eastAsia"/>
          <w:szCs w:val="21"/>
        </w:rPr>
        <w:t>-1.0000</w:t>
      </w:r>
      <w:r>
        <w:rPr>
          <w:rFonts w:ascii="微软雅黑" w:eastAsia="微软雅黑" w:hAnsi="微软雅黑" w:hint="eastAsia"/>
          <w:szCs w:val="21"/>
        </w:rPr>
        <w:t>0000</w:t>
      </w:r>
      <w:r>
        <w:rPr>
          <w:rFonts w:ascii="微软雅黑" w:eastAsia="微软雅黑" w:hAnsi="微软雅黑" w:hint="eastAsia"/>
          <w:szCs w:val="21"/>
        </w:rPr>
        <w:t>×</w:t>
      </w:r>
      <w:r>
        <w:rPr>
          <w:rFonts w:ascii="微软雅黑" w:eastAsia="微软雅黑" w:hAnsi="微软雅黑" w:hint="eastAsia"/>
          <w:szCs w:val="21"/>
        </w:rPr>
        <w:t>(1+5.00%</w:t>
      </w:r>
      <w:r>
        <w:rPr>
          <w:rFonts w:ascii="微软雅黑" w:eastAsia="微软雅黑" w:hAnsi="微软雅黑" w:hint="eastAsia"/>
          <w:szCs w:val="21"/>
        </w:rPr>
        <w:t>×</w:t>
      </w:r>
      <w:r>
        <w:rPr>
          <w:rFonts w:ascii="微软雅黑" w:eastAsia="微软雅黑" w:hAnsi="微软雅黑" w:hint="eastAsia"/>
          <w:szCs w:val="21"/>
        </w:rPr>
        <w:t>360/365)]= 244.2</w:t>
      </w:r>
      <w:r>
        <w:rPr>
          <w:rFonts w:ascii="微软雅黑" w:eastAsia="微软雅黑" w:hAnsi="微软雅黑" w:hint="eastAsia"/>
          <w:szCs w:val="21"/>
        </w:rPr>
        <w:t>4</w:t>
      </w:r>
      <w:r>
        <w:rPr>
          <w:rFonts w:ascii="微软雅黑" w:eastAsia="微软雅黑" w:hAnsi="微软雅黑" w:hint="eastAsia"/>
          <w:szCs w:val="21"/>
        </w:rPr>
        <w:t>（元）</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扣除浮动投资管理费后，客户最终收益为：</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50,000.00</w:t>
      </w:r>
      <w:r>
        <w:rPr>
          <w:rFonts w:ascii="微软雅黑" w:eastAsia="微软雅黑" w:hAnsi="微软雅黑" w:hint="eastAsia"/>
          <w:szCs w:val="21"/>
        </w:rPr>
        <w:t>×（</w:t>
      </w:r>
      <w:r>
        <w:rPr>
          <w:rFonts w:ascii="微软雅黑" w:eastAsia="微软雅黑" w:hAnsi="微软雅黑" w:hint="eastAsia"/>
          <w:szCs w:val="21"/>
        </w:rPr>
        <w:t>1.0542</w:t>
      </w:r>
      <w:r>
        <w:rPr>
          <w:rFonts w:ascii="微软雅黑" w:eastAsia="微软雅黑" w:hAnsi="微软雅黑" w:hint="eastAsia"/>
          <w:szCs w:val="21"/>
        </w:rPr>
        <w:t>0000</w:t>
      </w:r>
      <w:r>
        <w:rPr>
          <w:rFonts w:ascii="微软雅黑" w:eastAsia="微软雅黑" w:hAnsi="微软雅黑" w:hint="eastAsia"/>
          <w:szCs w:val="21"/>
        </w:rPr>
        <w:t>-1.0000</w:t>
      </w:r>
      <w:r>
        <w:rPr>
          <w:rFonts w:ascii="微软雅黑" w:eastAsia="微软雅黑" w:hAnsi="微软雅黑" w:hint="eastAsia"/>
          <w:szCs w:val="21"/>
        </w:rPr>
        <w:t>0000</w:t>
      </w:r>
      <w:r>
        <w:rPr>
          <w:rFonts w:ascii="微软雅黑" w:eastAsia="微软雅黑" w:hAnsi="微软雅黑" w:hint="eastAsia"/>
          <w:szCs w:val="21"/>
        </w:rPr>
        <w:t>）</w:t>
      </w:r>
      <w:r>
        <w:rPr>
          <w:rFonts w:ascii="微软雅黑" w:eastAsia="微软雅黑" w:hAnsi="微软雅黑" w:hint="eastAsia"/>
          <w:szCs w:val="21"/>
        </w:rPr>
        <w:t>-244.2</w:t>
      </w:r>
      <w:r>
        <w:rPr>
          <w:rFonts w:ascii="微软雅黑" w:eastAsia="微软雅黑" w:hAnsi="微软雅黑" w:hint="eastAsia"/>
          <w:szCs w:val="21"/>
        </w:rPr>
        <w:t>4</w:t>
      </w:r>
      <w:r>
        <w:rPr>
          <w:rFonts w:ascii="微软雅黑" w:eastAsia="微软雅黑" w:hAnsi="微软雅黑" w:hint="eastAsia"/>
          <w:szCs w:val="21"/>
        </w:rPr>
        <w:t>=2,465.7</w:t>
      </w:r>
      <w:r>
        <w:rPr>
          <w:rFonts w:ascii="微软雅黑" w:eastAsia="微软雅黑" w:hAnsi="微软雅黑" w:hint="eastAsia"/>
          <w:szCs w:val="21"/>
        </w:rPr>
        <w:t>6</w:t>
      </w:r>
      <w:r>
        <w:rPr>
          <w:rFonts w:ascii="微软雅黑" w:eastAsia="微软雅黑" w:hAnsi="微软雅黑" w:hint="eastAsia"/>
          <w:szCs w:val="21"/>
        </w:rPr>
        <w:t>（元）。</w:t>
      </w:r>
    </w:p>
    <w:p w:rsidR="00392D7E" w:rsidRDefault="00392D7E">
      <w:pPr>
        <w:spacing w:line="320" w:lineRule="exact"/>
        <w:ind w:firstLineChars="200" w:firstLine="420"/>
        <w:rPr>
          <w:rFonts w:ascii="微软雅黑" w:eastAsia="微软雅黑" w:hAnsi="微软雅黑"/>
          <w:szCs w:val="21"/>
        </w:rPr>
      </w:pP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情景二：扣除产品各项费用（包括不限于托管费、运营服务费、销售手续费和固定投资管理费）后，投资收益未达到业绩比较基准</w:t>
      </w:r>
      <w:r>
        <w:rPr>
          <w:rFonts w:ascii="微软雅黑" w:eastAsia="微软雅黑" w:hAnsi="微软雅黑" w:hint="eastAsia"/>
          <w:szCs w:val="21"/>
        </w:rPr>
        <w:t>，</w:t>
      </w:r>
      <w:r>
        <w:rPr>
          <w:rFonts w:ascii="微软雅黑" w:eastAsia="微软雅黑" w:hAnsi="微软雅黑" w:hint="eastAsia"/>
          <w:szCs w:val="21"/>
        </w:rPr>
        <w:t>但珠海华润银行收取的固定投资管理费能够覆盖差额部分。</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w:t>
      </w:r>
      <w:r>
        <w:rPr>
          <w:rFonts w:ascii="微软雅黑" w:eastAsia="微软雅黑" w:hAnsi="微软雅黑" w:hint="eastAsia"/>
          <w:szCs w:val="21"/>
        </w:rPr>
        <w:t>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份（即存续期中未发生提前终止或其他情形），扣除产品各项费用（包括不限于托管费、运营服务费、销售手续费和固定投资管理费）后，如产品净值为</w:t>
      </w:r>
      <w:r>
        <w:rPr>
          <w:rFonts w:ascii="微软雅黑" w:eastAsia="微软雅黑" w:hAnsi="微软雅黑"/>
          <w:szCs w:val="21"/>
        </w:rPr>
        <w:t>1.</w:t>
      </w:r>
      <w:r>
        <w:rPr>
          <w:rFonts w:ascii="微软雅黑" w:eastAsia="微软雅黑" w:hAnsi="微软雅黑" w:hint="eastAsia"/>
          <w:szCs w:val="21"/>
        </w:rPr>
        <w:t>0485</w:t>
      </w:r>
      <w:r>
        <w:rPr>
          <w:rFonts w:ascii="微软雅黑" w:eastAsia="微软雅黑" w:hAnsi="微软雅黑" w:hint="eastAsia"/>
          <w:szCs w:val="21"/>
        </w:rPr>
        <w:t>0000</w:t>
      </w:r>
      <w:r>
        <w:rPr>
          <w:rFonts w:ascii="微软雅黑" w:eastAsia="微软雅黑" w:hAnsi="微软雅黑" w:hint="eastAsia"/>
          <w:szCs w:val="21"/>
        </w:rPr>
        <w:t>，</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szCs w:val="21"/>
        </w:rPr>
        <w:t>(1.</w:t>
      </w:r>
      <w:r>
        <w:rPr>
          <w:rFonts w:ascii="微软雅黑" w:eastAsia="微软雅黑" w:hAnsi="微软雅黑" w:hint="eastAsia"/>
          <w:szCs w:val="21"/>
        </w:rPr>
        <w:t>0485</w:t>
      </w:r>
      <w:r>
        <w:rPr>
          <w:rFonts w:ascii="微软雅黑" w:eastAsia="微软雅黑" w:hAnsi="微软雅黑" w:hint="eastAsia"/>
          <w:szCs w:val="21"/>
        </w:rPr>
        <w:t>0000</w:t>
      </w:r>
      <w:r>
        <w:rPr>
          <w:rFonts w:ascii="微软雅黑" w:eastAsia="微软雅黑" w:hAnsi="微软雅黑"/>
          <w:szCs w:val="21"/>
        </w:rPr>
        <w:t>/1.00</w:t>
      </w:r>
      <w:r>
        <w:rPr>
          <w:rFonts w:ascii="微软雅黑" w:eastAsia="微软雅黑" w:hAnsi="微软雅黑" w:hint="eastAsia"/>
          <w:szCs w:val="21"/>
        </w:rPr>
        <w:t>00</w:t>
      </w:r>
      <w:r>
        <w:rPr>
          <w:rFonts w:ascii="微软雅黑" w:eastAsia="微软雅黑" w:hAnsi="微软雅黑" w:hint="eastAsia"/>
          <w:szCs w:val="21"/>
        </w:rPr>
        <w:t>0000</w:t>
      </w:r>
      <w:r>
        <w:rPr>
          <w:rFonts w:ascii="微软雅黑" w:eastAsia="微软雅黑" w:hAnsi="微软雅黑"/>
          <w:szCs w:val="21"/>
        </w:rPr>
        <w:t>-1)</w:t>
      </w:r>
      <w:r>
        <w:rPr>
          <w:rFonts w:ascii="微软雅黑" w:eastAsia="微软雅黑" w:hAnsi="微软雅黑" w:hint="eastAsia"/>
          <w:szCs w:val="21"/>
        </w:rPr>
        <w:t>×</w:t>
      </w:r>
      <w:r>
        <w:rPr>
          <w:rFonts w:ascii="微软雅黑" w:eastAsia="微软雅黑" w:hAnsi="微软雅黑"/>
          <w:szCs w:val="21"/>
        </w:rPr>
        <w:t>365/</w:t>
      </w:r>
      <w:r>
        <w:rPr>
          <w:rFonts w:ascii="微软雅黑" w:eastAsia="微软雅黑" w:hAnsi="微软雅黑" w:hint="eastAsia"/>
          <w:szCs w:val="21"/>
        </w:rPr>
        <w:t>360</w:t>
      </w:r>
      <w:r>
        <w:rPr>
          <w:rFonts w:ascii="微软雅黑" w:eastAsia="微软雅黑" w:hAnsi="微软雅黑"/>
          <w:szCs w:val="21"/>
        </w:rPr>
        <w:t>=4.</w:t>
      </w:r>
      <w:r>
        <w:rPr>
          <w:rFonts w:ascii="微软雅黑" w:eastAsia="微软雅黑" w:hAnsi="微软雅黑" w:hint="eastAsia"/>
          <w:szCs w:val="21"/>
        </w:rPr>
        <w:t>92</w:t>
      </w:r>
      <w:r>
        <w:rPr>
          <w:rFonts w:ascii="微软雅黑" w:eastAsia="微软雅黑" w:hAnsi="微软雅黑"/>
          <w:szCs w:val="21"/>
        </w:rPr>
        <w:t>%&lt;5.</w:t>
      </w:r>
      <w:r>
        <w:rPr>
          <w:rFonts w:ascii="微软雅黑" w:eastAsia="微软雅黑" w:hAnsi="微软雅黑" w:hint="eastAsia"/>
          <w:szCs w:val="21"/>
        </w:rPr>
        <w:t>0</w:t>
      </w:r>
      <w:r>
        <w:rPr>
          <w:rFonts w:ascii="微软雅黑" w:eastAsia="微软雅黑" w:hAnsi="微软雅黑"/>
          <w:szCs w:val="21"/>
        </w:rPr>
        <w:t>0%</w:t>
      </w:r>
      <w:r>
        <w:rPr>
          <w:rFonts w:ascii="微软雅黑" w:eastAsia="微软雅黑" w:hAnsi="微软雅黑" w:hint="eastAsia"/>
          <w:szCs w:val="21"/>
        </w:rPr>
        <w:t>，即投资收益未达到业绩比较基准，此时，珠海华润银行不收取浮动投资管理费，同时将收取的固定投资管理费向客户回拨</w:t>
      </w:r>
      <w:r>
        <w:rPr>
          <w:rFonts w:ascii="微软雅黑" w:eastAsia="微软雅黑" w:hAnsi="微软雅黑" w:hint="eastAsia"/>
          <w:szCs w:val="21"/>
        </w:rPr>
        <w:t>0.</w:t>
      </w:r>
      <w:r>
        <w:rPr>
          <w:rFonts w:ascii="微软雅黑" w:eastAsia="微软雅黑" w:hAnsi="微软雅黑" w:hint="eastAsia"/>
          <w:szCs w:val="21"/>
        </w:rPr>
        <w:t>08</w:t>
      </w:r>
      <w:r>
        <w:rPr>
          <w:rFonts w:ascii="微软雅黑" w:eastAsia="微软雅黑" w:hAnsi="微软雅黑" w:hint="eastAsia"/>
          <w:szCs w:val="21"/>
        </w:rPr>
        <w:t>%</w:t>
      </w:r>
      <w:r>
        <w:rPr>
          <w:rFonts w:ascii="微软雅黑" w:eastAsia="微软雅黑" w:hAnsi="微软雅黑" w:hint="eastAsia"/>
          <w:szCs w:val="21"/>
        </w:rPr>
        <w:t>，使得客户收益达到业绩比较基准。</w:t>
      </w:r>
    </w:p>
    <w:p w:rsidR="00392D7E" w:rsidRDefault="00392D7E">
      <w:pPr>
        <w:spacing w:line="320" w:lineRule="exact"/>
        <w:ind w:firstLineChars="200" w:firstLine="420"/>
        <w:rPr>
          <w:rFonts w:ascii="微软雅黑" w:eastAsia="微软雅黑" w:hAnsi="微软雅黑"/>
          <w:szCs w:val="21"/>
        </w:rPr>
      </w:pP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情景三：扣除产品</w:t>
      </w:r>
      <w:r>
        <w:rPr>
          <w:rFonts w:ascii="微软雅黑" w:eastAsia="微软雅黑" w:hAnsi="微软雅黑" w:hint="eastAsia"/>
          <w:szCs w:val="21"/>
        </w:rPr>
        <w:t>各项费用（包括不限于托管费、运营服务费、销售手续费和固定投资管理费）后，投资收益未达到业绩比较基准</w:t>
      </w:r>
      <w:r>
        <w:rPr>
          <w:rFonts w:ascii="微软雅黑" w:eastAsia="微软雅黑" w:hAnsi="微软雅黑" w:hint="eastAsia"/>
          <w:szCs w:val="21"/>
        </w:rPr>
        <w:t>，</w:t>
      </w:r>
      <w:r>
        <w:rPr>
          <w:rFonts w:ascii="微软雅黑" w:eastAsia="微软雅黑" w:hAnsi="微软雅黑" w:hint="eastAsia"/>
          <w:szCs w:val="21"/>
        </w:rPr>
        <w:t>且以管理人收取的固定投资管理费为限进行回补不能够覆盖差额部分。</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假设客户投资</w:t>
      </w:r>
      <w:r>
        <w:rPr>
          <w:rFonts w:ascii="微软雅黑" w:eastAsia="微软雅黑" w:hAnsi="微软雅黑" w:hint="eastAsia"/>
          <w:szCs w:val="21"/>
        </w:rPr>
        <w:t>5</w:t>
      </w:r>
      <w:r>
        <w:rPr>
          <w:rFonts w:ascii="微软雅黑" w:eastAsia="微软雅黑" w:hAnsi="微软雅黑" w:hint="eastAsia"/>
          <w:szCs w:val="21"/>
        </w:rPr>
        <w:t>万元，购买时产品净值为</w:t>
      </w:r>
      <w:r>
        <w:rPr>
          <w:rFonts w:ascii="微软雅黑" w:eastAsia="微软雅黑" w:hAnsi="微软雅黑"/>
          <w:szCs w:val="21"/>
        </w:rPr>
        <w:t>1.00</w:t>
      </w:r>
      <w:r>
        <w:rPr>
          <w:rFonts w:ascii="微软雅黑" w:eastAsia="微软雅黑" w:hAnsi="微软雅黑" w:hint="eastAsia"/>
          <w:szCs w:val="21"/>
        </w:rPr>
        <w:t>00</w:t>
      </w:r>
      <w:r>
        <w:rPr>
          <w:rFonts w:ascii="微软雅黑" w:eastAsia="微软雅黑" w:hAnsi="微软雅黑" w:hint="eastAsia"/>
          <w:szCs w:val="21"/>
        </w:rPr>
        <w:t>0000</w:t>
      </w:r>
      <w:r>
        <w:rPr>
          <w:rFonts w:ascii="微软雅黑" w:eastAsia="微软雅黑" w:hAnsi="微软雅黑" w:hint="eastAsia"/>
          <w:szCs w:val="21"/>
        </w:rPr>
        <w:t>元，折算份额为</w:t>
      </w:r>
      <w:r>
        <w:rPr>
          <w:rFonts w:ascii="微软雅黑" w:eastAsia="微软雅黑" w:hAnsi="微软雅黑" w:hint="eastAsia"/>
          <w:szCs w:val="21"/>
        </w:rPr>
        <w:t>5</w:t>
      </w:r>
      <w:r>
        <w:rPr>
          <w:rFonts w:ascii="微软雅黑" w:eastAsia="微软雅黑" w:hAnsi="微软雅黑"/>
          <w:szCs w:val="21"/>
        </w:rPr>
        <w:t>0,000.00</w:t>
      </w:r>
      <w:r>
        <w:rPr>
          <w:rFonts w:ascii="微软雅黑" w:eastAsia="微软雅黑" w:hAnsi="微软雅黑" w:hint="eastAsia"/>
          <w:szCs w:val="21"/>
        </w:rPr>
        <w:t>份。产品到期时，若客户持有的份额依然为</w:t>
      </w:r>
      <w:r>
        <w:rPr>
          <w:rFonts w:ascii="微软雅黑" w:eastAsia="微软雅黑" w:hAnsi="微软雅黑" w:hint="eastAsia"/>
          <w:szCs w:val="21"/>
        </w:rPr>
        <w:t>50</w:t>
      </w:r>
      <w:r>
        <w:rPr>
          <w:rFonts w:ascii="微软雅黑" w:eastAsia="微软雅黑" w:hAnsi="微软雅黑"/>
          <w:szCs w:val="21"/>
        </w:rPr>
        <w:t>,000.00</w:t>
      </w:r>
      <w:r>
        <w:rPr>
          <w:rFonts w:ascii="微软雅黑" w:eastAsia="微软雅黑" w:hAnsi="微软雅黑" w:hint="eastAsia"/>
          <w:szCs w:val="21"/>
        </w:rPr>
        <w:t>份（即存续期中未发生提前终止或其他</w:t>
      </w:r>
      <w:r>
        <w:rPr>
          <w:rFonts w:ascii="微软雅黑" w:eastAsia="微软雅黑" w:hAnsi="微软雅黑" w:hint="eastAsia"/>
          <w:szCs w:val="21"/>
        </w:rPr>
        <w:lastRenderedPageBreak/>
        <w:t>情形），扣除产品各项费用（包括不限于托管费、运营服务费、销售手续费和固定投资管理费）后，如产品净值为</w:t>
      </w:r>
      <w:r>
        <w:rPr>
          <w:rFonts w:ascii="微软雅黑" w:eastAsia="微软雅黑" w:hAnsi="微软雅黑" w:hint="eastAsia"/>
          <w:szCs w:val="21"/>
        </w:rPr>
        <w:t>1.03120000</w:t>
      </w:r>
      <w:r>
        <w:rPr>
          <w:rFonts w:ascii="微软雅黑" w:eastAsia="微软雅黑" w:hAnsi="微软雅黑" w:hint="eastAsia"/>
          <w:szCs w:val="21"/>
        </w:rPr>
        <w:t>，则管理人不收取浮动投资管理费，客户最终收益为：</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此时，（</w:t>
      </w:r>
      <w:r>
        <w:rPr>
          <w:rFonts w:ascii="微软雅黑" w:eastAsia="微软雅黑" w:hAnsi="微软雅黑" w:hint="eastAsia"/>
          <w:szCs w:val="21"/>
        </w:rPr>
        <w:t>1.03120000/1.000000000-1)</w:t>
      </w:r>
      <w:r>
        <w:rPr>
          <w:rFonts w:ascii="微软雅黑" w:eastAsia="微软雅黑" w:hAnsi="微软雅黑" w:hint="eastAsia"/>
          <w:szCs w:val="21"/>
        </w:rPr>
        <w:t>×</w:t>
      </w:r>
      <w:r>
        <w:rPr>
          <w:rFonts w:ascii="微软雅黑" w:eastAsia="微软雅黑" w:hAnsi="微软雅黑"/>
          <w:szCs w:val="21"/>
        </w:rPr>
        <w:t>365/</w:t>
      </w:r>
      <w:r>
        <w:rPr>
          <w:rFonts w:ascii="微软雅黑" w:eastAsia="微软雅黑" w:hAnsi="微软雅黑" w:hint="eastAsia"/>
          <w:szCs w:val="21"/>
        </w:rPr>
        <w:t>360</w:t>
      </w:r>
      <w:r>
        <w:rPr>
          <w:rFonts w:ascii="微软雅黑" w:eastAsia="微软雅黑" w:hAnsi="微软雅黑" w:hint="eastAsia"/>
          <w:szCs w:val="21"/>
        </w:rPr>
        <w:t>=3.16%&lt;5%</w:t>
      </w:r>
      <w:r>
        <w:rPr>
          <w:rFonts w:ascii="微软雅黑" w:eastAsia="微软雅黑" w:hAnsi="微软雅黑" w:hint="eastAsia"/>
          <w:szCs w:val="21"/>
        </w:rPr>
        <w:t>，</w:t>
      </w:r>
      <w:r>
        <w:rPr>
          <w:rFonts w:ascii="微软雅黑" w:eastAsia="微软雅黑" w:hAnsi="微软雅黑" w:hint="eastAsia"/>
          <w:szCs w:val="21"/>
        </w:rPr>
        <w:t>即投资收益未达到业绩比较基准，此时，珠海华润银行不收取浮动投资管理费，同时将收取的固定投资管理费向客户回拨</w:t>
      </w:r>
      <w:r>
        <w:rPr>
          <w:rFonts w:ascii="微软雅黑" w:eastAsia="微软雅黑" w:hAnsi="微软雅黑" w:hint="eastAsia"/>
          <w:szCs w:val="21"/>
        </w:rPr>
        <w:t>0.</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w:t>
      </w:r>
    </w:p>
    <w:p w:rsidR="00392D7E" w:rsidRDefault="00D24908">
      <w:pPr>
        <w:spacing w:line="320" w:lineRule="exact"/>
        <w:rPr>
          <w:rFonts w:ascii="微软雅黑" w:eastAsia="微软雅黑" w:hAnsi="微软雅黑"/>
          <w:szCs w:val="21"/>
        </w:rPr>
      </w:pPr>
      <w:r>
        <w:rPr>
          <w:rFonts w:ascii="微软雅黑" w:eastAsia="微软雅黑" w:hAnsi="微软雅黑" w:hint="eastAsia"/>
          <w:szCs w:val="21"/>
        </w:rPr>
        <w:t>（以上情景均采用假设数据计算，仅为举例之用，不作为最终收益的计算依据。测算收益不等于实际收益，亦不构成珠海华润银行对本理财产品的任何收益承诺，投资须谨慎。）</w:t>
      </w: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七、理财产品估值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（一）估值日</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w:t>
      </w:r>
      <w:r>
        <w:rPr>
          <w:rFonts w:ascii="微软雅黑" w:eastAsia="微软雅黑" w:hAnsi="微软雅黑"/>
          <w:szCs w:val="21"/>
        </w:rPr>
        <w:t>T</w:t>
      </w:r>
      <w:r>
        <w:rPr>
          <w:rFonts w:ascii="微软雅黑" w:eastAsia="微软雅黑" w:hAnsi="微软雅黑" w:hint="eastAsia"/>
          <w:szCs w:val="21"/>
        </w:rPr>
        <w:t>日对</w:t>
      </w:r>
      <w:r>
        <w:rPr>
          <w:rFonts w:ascii="微软雅黑" w:eastAsia="微软雅黑" w:hAnsi="微软雅黑"/>
          <w:szCs w:val="21"/>
        </w:rPr>
        <w:t>T-1</w:t>
      </w:r>
      <w:r>
        <w:rPr>
          <w:rFonts w:ascii="微软雅黑" w:eastAsia="微软雅黑" w:hAnsi="微软雅黑" w:hint="eastAsia"/>
          <w:szCs w:val="21"/>
        </w:rPr>
        <w:t>日持有资产进行估值，</w:t>
      </w:r>
      <w:r>
        <w:rPr>
          <w:rFonts w:ascii="微软雅黑" w:eastAsia="微软雅黑" w:hAnsi="微软雅黑"/>
          <w:szCs w:val="21"/>
        </w:rPr>
        <w:t>T</w:t>
      </w:r>
      <w:r>
        <w:rPr>
          <w:rFonts w:ascii="微软雅黑" w:eastAsia="微软雅黑" w:hAnsi="微软雅黑" w:hint="eastAsia"/>
          <w:szCs w:val="21"/>
        </w:rPr>
        <w:t>日、</w:t>
      </w:r>
      <w:r>
        <w:rPr>
          <w:rFonts w:ascii="微软雅黑" w:eastAsia="微软雅黑" w:hAnsi="微软雅黑"/>
          <w:szCs w:val="21"/>
        </w:rPr>
        <w:t>T-1</w:t>
      </w:r>
      <w:r>
        <w:rPr>
          <w:rFonts w:ascii="微软雅黑" w:eastAsia="微软雅黑" w:hAnsi="微软雅黑" w:hint="eastAsia"/>
          <w:szCs w:val="21"/>
        </w:rPr>
        <w:t>日均为工作日，非工作日不进行估值。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（二）估值对象</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本理财产品所拥有的各类资产及负债。</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（三）估值方法</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本理财产品所投资各类资产原则上按照公允价值估值，具体估值方法如下：</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货币市场工具类的估值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）银行存款以本金列示，逐日计提利息；</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2</w:t>
      </w:r>
      <w:r>
        <w:rPr>
          <w:rFonts w:ascii="微软雅黑" w:eastAsia="微软雅黑" w:hAnsi="微软雅黑" w:hint="eastAsia"/>
          <w:szCs w:val="21"/>
        </w:rPr>
        <w:t>）货币基金以当日基金净值估值。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hint="eastAsia"/>
          <w:szCs w:val="21"/>
        </w:rPr>
        <w:t>债券类的估值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）以持有到期为目的持有的债券</w:t>
      </w:r>
      <w:proofErr w:type="gramStart"/>
      <w:r>
        <w:rPr>
          <w:rFonts w:ascii="微软雅黑" w:eastAsia="微软雅黑" w:hAnsi="微软雅黑" w:hint="eastAsia"/>
          <w:szCs w:val="21"/>
        </w:rPr>
        <w:t>按摊余成本</w:t>
      </w:r>
      <w:proofErr w:type="gramEnd"/>
      <w:r>
        <w:rPr>
          <w:rFonts w:ascii="微软雅黑" w:eastAsia="微软雅黑" w:hAnsi="微软雅黑" w:hint="eastAsia"/>
          <w:szCs w:val="21"/>
        </w:rPr>
        <w:t>法估值；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2</w:t>
      </w:r>
      <w:r>
        <w:rPr>
          <w:rFonts w:ascii="微软雅黑" w:eastAsia="微软雅黑" w:hAnsi="微软雅黑" w:hint="eastAsia"/>
          <w:szCs w:val="21"/>
        </w:rPr>
        <w:t>）以交易为目的持有的债券按市价法估值。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hint="eastAsia"/>
          <w:szCs w:val="21"/>
        </w:rPr>
        <w:t>债权类项目的估值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1</w:t>
      </w:r>
      <w:r>
        <w:rPr>
          <w:rFonts w:ascii="微软雅黑" w:eastAsia="微软雅黑" w:hAnsi="微软雅黑" w:hint="eastAsia"/>
          <w:szCs w:val="21"/>
        </w:rPr>
        <w:t>）非标债权类项目以摊</w:t>
      </w:r>
      <w:proofErr w:type="gramStart"/>
      <w:r>
        <w:rPr>
          <w:rFonts w:ascii="微软雅黑" w:eastAsia="微软雅黑" w:hAnsi="微软雅黑" w:hint="eastAsia"/>
          <w:szCs w:val="21"/>
        </w:rPr>
        <w:t>余成本</w:t>
      </w:r>
      <w:proofErr w:type="gramEnd"/>
      <w:r>
        <w:rPr>
          <w:rFonts w:ascii="微软雅黑" w:eastAsia="微软雅黑" w:hAnsi="微软雅黑" w:hint="eastAsia"/>
          <w:szCs w:val="21"/>
        </w:rPr>
        <w:t>法估值；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2</w:t>
      </w:r>
      <w:r>
        <w:rPr>
          <w:rFonts w:ascii="微软雅黑" w:eastAsia="微软雅黑" w:hAnsi="微软雅黑" w:hint="eastAsia"/>
          <w:szCs w:val="21"/>
        </w:rPr>
        <w:t>）标准化债权项目中，以持有到期为目的持有的债权</w:t>
      </w:r>
      <w:proofErr w:type="gramStart"/>
      <w:r>
        <w:rPr>
          <w:rFonts w:ascii="微软雅黑" w:eastAsia="微软雅黑" w:hAnsi="微软雅黑" w:hint="eastAsia"/>
          <w:szCs w:val="21"/>
        </w:rPr>
        <w:t>按摊余成本</w:t>
      </w:r>
      <w:proofErr w:type="gramEnd"/>
      <w:r>
        <w:rPr>
          <w:rFonts w:ascii="微软雅黑" w:eastAsia="微软雅黑" w:hAnsi="微软雅黑" w:hint="eastAsia"/>
          <w:szCs w:val="21"/>
        </w:rPr>
        <w:t>法估值，以交易为目的持有的债权按市价法估值。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hint="eastAsia"/>
          <w:szCs w:val="21"/>
        </w:rPr>
        <w:t>其</w:t>
      </w:r>
      <w:r>
        <w:rPr>
          <w:rFonts w:ascii="微软雅黑" w:eastAsia="微软雅黑" w:hAnsi="微软雅黑" w:hint="eastAsia"/>
          <w:szCs w:val="21"/>
        </w:rPr>
        <w:t>他资产类估值</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其他资产存在并可以确定公允价值的，以公允价值计算，公允价值不能确定的按取得时的成本</w:t>
      </w:r>
      <w:proofErr w:type="gramStart"/>
      <w:r>
        <w:rPr>
          <w:rFonts w:ascii="微软雅黑" w:eastAsia="微软雅黑" w:hAnsi="微软雅黑" w:hint="eastAsia"/>
          <w:szCs w:val="21"/>
        </w:rPr>
        <w:t>按摊余成本</w:t>
      </w:r>
      <w:proofErr w:type="gramEnd"/>
      <w:r>
        <w:rPr>
          <w:rFonts w:ascii="微软雅黑" w:eastAsia="微软雅黑" w:hAnsi="微软雅黑" w:hint="eastAsia"/>
          <w:szCs w:val="21"/>
        </w:rPr>
        <w:t>法计算。</w:t>
      </w:r>
    </w:p>
    <w:p w:rsidR="00392D7E" w:rsidRDefault="00D24908">
      <w:pPr>
        <w:numPr>
          <w:ilvl w:val="0"/>
          <w:numId w:val="1"/>
        </w:num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国家有最新规定的，按其规定进行估值。</w:t>
      </w:r>
    </w:p>
    <w:p w:rsidR="00392D7E" w:rsidRDefault="00D24908">
      <w:pPr>
        <w:numPr>
          <w:ilvl w:val="255"/>
          <w:numId w:val="0"/>
        </w:numPr>
        <w:spacing w:line="320" w:lineRule="exact"/>
        <w:ind w:firstLineChars="100" w:firstLine="210"/>
        <w:rPr>
          <w:rFonts w:ascii="微软雅黑" w:eastAsia="微软雅黑" w:hAnsi="微软雅黑"/>
          <w:szCs w:val="21"/>
        </w:rPr>
      </w:pPr>
      <w:r>
        <w:rPr>
          <w:rFonts w:ascii="微软雅黑" w:eastAsia="微软雅黑" w:hAnsi="微软雅黑" w:hint="eastAsia"/>
          <w:szCs w:val="21"/>
        </w:rPr>
        <w:t>（四）本期理财产品由珠海华润银行聘请第三方机构进行估值服务，估值服务所产生的运营服务费由理财产品财产承担。</w:t>
      </w:r>
    </w:p>
    <w:p w:rsidR="00392D7E" w:rsidRDefault="00392D7E">
      <w:pPr>
        <w:spacing w:line="320" w:lineRule="exact"/>
        <w:rPr>
          <w:rFonts w:ascii="微软雅黑" w:eastAsia="微软雅黑" w:hAnsi="微软雅黑"/>
          <w:szCs w:val="21"/>
        </w:rPr>
      </w:pPr>
    </w:p>
    <w:p w:rsidR="00392D7E" w:rsidRDefault="00D24908">
      <w:pPr>
        <w:adjustRightInd w:val="0"/>
        <w:snapToGrid w:val="0"/>
        <w:spacing w:beforeLines="30" w:before="93" w:afterLines="30" w:after="93" w:line="320" w:lineRule="exact"/>
        <w:ind w:left="454"/>
        <w:rPr>
          <w:rFonts w:ascii="微软雅黑" w:eastAsia="微软雅黑" w:hAnsi="微软雅黑" w:cs="Arial"/>
          <w:b/>
          <w:szCs w:val="21"/>
        </w:rPr>
      </w:pPr>
      <w:r>
        <w:rPr>
          <w:rFonts w:ascii="微软雅黑" w:eastAsia="微软雅黑" w:hAnsi="微软雅黑" w:cs="Arial" w:hint="eastAsia"/>
          <w:b/>
          <w:szCs w:val="21"/>
        </w:rPr>
        <w:t>八、信息披露</w:t>
      </w:r>
      <w:r>
        <w:rPr>
          <w:rFonts w:ascii="微软雅黑" w:eastAsia="微软雅黑" w:hAnsi="微软雅黑" w:cs="Arial" w:hint="eastAsia"/>
          <w:b/>
          <w:szCs w:val="21"/>
        </w:rPr>
        <w:t xml:space="preserve"> </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珠海华润银行将及时在各营业网点或官方网站或珠海华润银行认为适当的其他渠道，发布产品的相关公告，具体公告分类如下：</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如本理财产品顺利成立，珠海华润银行将于理财产品成立日后</w:t>
      </w:r>
      <w:r>
        <w:rPr>
          <w:rFonts w:ascii="微软雅黑" w:eastAsia="微软雅黑" w:hAnsi="微软雅黑" w:hint="eastAsia"/>
          <w:szCs w:val="21"/>
        </w:rPr>
        <w:t>5</w:t>
      </w:r>
      <w:r>
        <w:rPr>
          <w:rFonts w:ascii="微软雅黑" w:eastAsia="微软雅黑" w:hAnsi="微软雅黑" w:hint="eastAsia"/>
          <w:szCs w:val="21"/>
        </w:rPr>
        <w:t>个工作日内，发布“产品发行公告”。如本理财产品不能顺利成立，珠海华润银行将于决定理财产品不成立之日后</w:t>
      </w:r>
      <w:r>
        <w:rPr>
          <w:rFonts w:ascii="微软雅黑" w:eastAsia="微软雅黑" w:hAnsi="微软雅黑" w:hint="eastAsia"/>
          <w:szCs w:val="21"/>
        </w:rPr>
        <w:t>2</w:t>
      </w:r>
      <w:r>
        <w:rPr>
          <w:rFonts w:ascii="微软雅黑" w:eastAsia="微软雅黑" w:hAnsi="微软雅黑" w:hint="eastAsia"/>
          <w:szCs w:val="21"/>
        </w:rPr>
        <w:t>个工作日内</w:t>
      </w:r>
      <w:r>
        <w:rPr>
          <w:rFonts w:ascii="微软雅黑" w:eastAsia="微软雅黑" w:hAnsi="微软雅黑" w:hint="eastAsia"/>
          <w:szCs w:val="21"/>
        </w:rPr>
        <w:t>,</w:t>
      </w:r>
      <w:r>
        <w:rPr>
          <w:rFonts w:ascii="微软雅黑" w:eastAsia="微软雅黑" w:hAnsi="微软雅黑" w:hint="eastAsia"/>
          <w:szCs w:val="21"/>
        </w:rPr>
        <w:t>发布“产品不成立公告”。</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 xml:space="preserve"> </w:t>
      </w:r>
      <w:r>
        <w:rPr>
          <w:rFonts w:ascii="微软雅黑" w:eastAsia="微软雅黑" w:hAnsi="微软雅黑" w:hint="eastAsia"/>
          <w:szCs w:val="21"/>
        </w:rPr>
        <w:t>如本理财产品顺利到期，珠海华润银行将于理财产品到期日后</w:t>
      </w:r>
      <w:r>
        <w:rPr>
          <w:rFonts w:ascii="微软雅黑" w:eastAsia="微软雅黑" w:hAnsi="微软雅黑" w:hint="eastAsia"/>
          <w:szCs w:val="21"/>
        </w:rPr>
        <w:t>5</w:t>
      </w:r>
      <w:r>
        <w:rPr>
          <w:rFonts w:ascii="微软雅黑" w:eastAsia="微软雅黑" w:hAnsi="微软雅黑" w:hint="eastAsia"/>
          <w:szCs w:val="21"/>
        </w:rPr>
        <w:t>个工作日内，发布“产品到期公告”。如需提前终止本理财产品，珠海华润银行将于提前终止日前</w:t>
      </w:r>
      <w:r>
        <w:rPr>
          <w:rFonts w:ascii="微软雅黑" w:eastAsia="微软雅黑" w:hAnsi="微软雅黑" w:hint="eastAsia"/>
          <w:szCs w:val="21"/>
        </w:rPr>
        <w:t>2</w:t>
      </w:r>
      <w:r>
        <w:rPr>
          <w:rFonts w:ascii="微软雅黑" w:eastAsia="微软雅黑" w:hAnsi="微软雅黑" w:hint="eastAsia"/>
          <w:szCs w:val="21"/>
        </w:rPr>
        <w:t>个工作日内，发布“产品提前终止公告”。</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lastRenderedPageBreak/>
        <w:t>3.</w:t>
      </w:r>
      <w:r>
        <w:rPr>
          <w:rFonts w:ascii="微软雅黑" w:eastAsia="微软雅黑" w:hAnsi="微软雅黑" w:hint="eastAsia"/>
          <w:szCs w:val="21"/>
        </w:rPr>
        <w:t>理财产品存续期间，珠海华润银行将于每周公</w:t>
      </w:r>
      <w:proofErr w:type="gramStart"/>
      <w:r>
        <w:rPr>
          <w:rFonts w:ascii="微软雅黑" w:eastAsia="微软雅黑" w:hAnsi="微软雅黑" w:hint="eastAsia"/>
          <w:szCs w:val="21"/>
        </w:rPr>
        <w:t>告产品</w:t>
      </w:r>
      <w:proofErr w:type="gramEnd"/>
      <w:r>
        <w:rPr>
          <w:rFonts w:ascii="微软雅黑" w:eastAsia="微软雅黑" w:hAnsi="微软雅黑" w:hint="eastAsia"/>
          <w:szCs w:val="21"/>
        </w:rPr>
        <w:t>净值。珠海华润银行将在每季度结束之日起</w:t>
      </w:r>
      <w:r>
        <w:rPr>
          <w:rFonts w:ascii="微软雅黑" w:eastAsia="微软雅黑" w:hAnsi="微软雅黑" w:hint="eastAsia"/>
          <w:szCs w:val="21"/>
        </w:rPr>
        <w:t>15</w:t>
      </w:r>
      <w:r>
        <w:rPr>
          <w:rFonts w:ascii="微软雅黑" w:eastAsia="微软雅黑" w:hAnsi="微软雅黑" w:hint="eastAsia"/>
          <w:szCs w:val="21"/>
        </w:rPr>
        <w:t>日内，上半年结束之日起</w:t>
      </w:r>
      <w:r>
        <w:rPr>
          <w:rFonts w:ascii="微软雅黑" w:eastAsia="微软雅黑" w:hAnsi="微软雅黑" w:hint="eastAsia"/>
          <w:szCs w:val="21"/>
        </w:rPr>
        <w:t>60</w:t>
      </w:r>
      <w:r>
        <w:rPr>
          <w:rFonts w:ascii="微软雅黑" w:eastAsia="微软雅黑" w:hAnsi="微软雅黑" w:hint="eastAsia"/>
          <w:szCs w:val="21"/>
        </w:rPr>
        <w:t>日内</w:t>
      </w:r>
      <w:r>
        <w:rPr>
          <w:rFonts w:ascii="微软雅黑" w:eastAsia="微软雅黑" w:hAnsi="微软雅黑" w:hint="eastAsia"/>
          <w:szCs w:val="21"/>
        </w:rPr>
        <w:t>，每年结束之日起</w:t>
      </w:r>
      <w:r>
        <w:rPr>
          <w:rFonts w:ascii="微软雅黑" w:eastAsia="微软雅黑" w:hAnsi="微软雅黑" w:hint="eastAsia"/>
          <w:szCs w:val="21"/>
        </w:rPr>
        <w:t>90</w:t>
      </w:r>
      <w:r>
        <w:rPr>
          <w:rFonts w:ascii="微软雅黑" w:eastAsia="微软雅黑" w:hAnsi="微软雅黑" w:hint="eastAsia"/>
          <w:szCs w:val="21"/>
        </w:rPr>
        <w:t>日内，公告产品季度报告、半年度报告和年度报告（理财产品成立不足</w:t>
      </w:r>
      <w:r>
        <w:rPr>
          <w:rFonts w:ascii="微软雅黑" w:eastAsia="微软雅黑" w:hAnsi="微软雅黑" w:hint="eastAsia"/>
          <w:szCs w:val="21"/>
        </w:rPr>
        <w:t>90</w:t>
      </w:r>
      <w:r>
        <w:rPr>
          <w:rFonts w:ascii="微软雅黑" w:eastAsia="微软雅黑" w:hAnsi="微软雅黑" w:hint="eastAsia"/>
          <w:szCs w:val="21"/>
        </w:rPr>
        <w:t>日或者剩余存续期不超过</w:t>
      </w:r>
      <w:r>
        <w:rPr>
          <w:rFonts w:ascii="微软雅黑" w:eastAsia="微软雅黑" w:hAnsi="微软雅黑" w:hint="eastAsia"/>
          <w:szCs w:val="21"/>
        </w:rPr>
        <w:t>90</w:t>
      </w:r>
      <w:r>
        <w:rPr>
          <w:rFonts w:ascii="微软雅黑" w:eastAsia="微软雅黑" w:hAnsi="微软雅黑" w:hint="eastAsia"/>
          <w:szCs w:val="21"/>
        </w:rPr>
        <w:t>日的除外），向客户披露产品投资状况、投资表现、风险状况等信息。</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hint="eastAsia"/>
          <w:szCs w:val="21"/>
        </w:rPr>
        <w:t>理财产品存续期间，珠海华润银行如需对《产品说明书》的相关条款（包括但不限于业绩比较基准、投资范围、估值方法、相关费用等）进行补充、说明和修改，可以提前</w:t>
      </w:r>
      <w:r>
        <w:rPr>
          <w:rFonts w:ascii="微软雅黑" w:eastAsia="微软雅黑" w:hAnsi="微软雅黑"/>
          <w:szCs w:val="21"/>
        </w:rPr>
        <w:t>2</w:t>
      </w:r>
      <w:r>
        <w:rPr>
          <w:rFonts w:ascii="微软雅黑" w:eastAsia="微软雅黑" w:hAnsi="微软雅黑" w:hint="eastAsia"/>
          <w:szCs w:val="21"/>
        </w:rPr>
        <w:t>个工作日发布公告。</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hint="eastAsia"/>
          <w:szCs w:val="21"/>
        </w:rPr>
        <w:t>理财产品存续期间，如国家宏观政策或市场发生了可能对本理财产品本金及收益造成重大影响的事件，珠海华润银行将于重大事件后的</w:t>
      </w:r>
      <w:r>
        <w:rPr>
          <w:rFonts w:ascii="微软雅黑" w:eastAsia="微软雅黑" w:hAnsi="微软雅黑" w:hint="eastAsia"/>
          <w:szCs w:val="21"/>
        </w:rPr>
        <w:t>2</w:t>
      </w:r>
      <w:r>
        <w:rPr>
          <w:rFonts w:ascii="微软雅黑" w:eastAsia="微软雅黑" w:hAnsi="微软雅黑" w:hint="eastAsia"/>
          <w:szCs w:val="21"/>
        </w:rPr>
        <w:t>个工作日内发布“重大事项公告”。</w:t>
      </w:r>
    </w:p>
    <w:p w:rsidR="00392D7E" w:rsidRDefault="00D24908">
      <w:pPr>
        <w:spacing w:line="320" w:lineRule="exact"/>
        <w:ind w:firstLineChars="200" w:firstLine="420"/>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hint="eastAsia"/>
          <w:szCs w:val="21"/>
        </w:rPr>
        <w:t>客户需要咨询本理财产品相关信息的，可到珠海华润银行各营业网点咨询，也可致电珠海华润银行</w:t>
      </w:r>
      <w:r>
        <w:rPr>
          <w:rFonts w:ascii="微软雅黑" w:eastAsia="微软雅黑" w:hAnsi="微软雅黑" w:hint="eastAsia"/>
          <w:szCs w:val="21"/>
        </w:rPr>
        <w:t>24</w:t>
      </w:r>
      <w:r>
        <w:rPr>
          <w:rFonts w:ascii="微软雅黑" w:eastAsia="微软雅黑" w:hAnsi="微软雅黑" w:hint="eastAsia"/>
          <w:szCs w:val="21"/>
        </w:rPr>
        <w:t>小时客户服务热线</w:t>
      </w:r>
      <w:r>
        <w:rPr>
          <w:rFonts w:ascii="微软雅黑" w:eastAsia="微软雅黑" w:hAnsi="微软雅黑" w:hint="eastAsia"/>
          <w:szCs w:val="21"/>
        </w:rPr>
        <w:t>96588</w:t>
      </w:r>
      <w:r>
        <w:rPr>
          <w:rFonts w:ascii="微软雅黑" w:eastAsia="微软雅黑" w:hAnsi="微软雅黑" w:hint="eastAsia"/>
          <w:szCs w:val="21"/>
        </w:rPr>
        <w:t>（广东省外请加拨</w:t>
      </w:r>
      <w:r>
        <w:rPr>
          <w:rFonts w:ascii="微软雅黑" w:eastAsia="微软雅黑" w:hAnsi="微软雅黑" w:hint="eastAsia"/>
          <w:szCs w:val="21"/>
        </w:rPr>
        <w:t>0756</w:t>
      </w:r>
      <w:r>
        <w:rPr>
          <w:rFonts w:ascii="微软雅黑" w:eastAsia="微软雅黑" w:hAnsi="微软雅黑" w:hint="eastAsia"/>
          <w:szCs w:val="21"/>
        </w:rPr>
        <w:t>）或</w:t>
      </w:r>
      <w:r>
        <w:rPr>
          <w:rFonts w:ascii="微软雅黑" w:eastAsia="微软雅黑" w:hAnsi="微软雅黑" w:hint="eastAsia"/>
          <w:szCs w:val="21"/>
        </w:rPr>
        <w:t xml:space="preserve">4008800338 </w:t>
      </w:r>
      <w:r>
        <w:rPr>
          <w:rFonts w:ascii="微软雅黑" w:eastAsia="微软雅黑" w:hAnsi="微软雅黑" w:hint="eastAsia"/>
          <w:szCs w:val="21"/>
        </w:rPr>
        <w:t>咨询</w:t>
      </w:r>
      <w:r>
        <w:rPr>
          <w:rFonts w:ascii="微软雅黑" w:eastAsia="微软雅黑" w:hAnsi="微软雅黑" w:hint="eastAsia"/>
          <w:szCs w:val="21"/>
        </w:rPr>
        <w:t xml:space="preserve"> </w:t>
      </w:r>
      <w:r>
        <w:rPr>
          <w:rFonts w:ascii="微软雅黑" w:eastAsia="微软雅黑" w:hAnsi="微软雅黑" w:hint="eastAsia"/>
          <w:szCs w:val="21"/>
        </w:rPr>
        <w:t>。</w:t>
      </w:r>
      <w:bookmarkStart w:id="2" w:name="_Hlt97867810"/>
      <w:bookmarkEnd w:id="2"/>
    </w:p>
    <w:p w:rsidR="00392D7E" w:rsidRDefault="00392D7E">
      <w:pPr>
        <w:spacing w:line="320" w:lineRule="exact"/>
      </w:pPr>
    </w:p>
    <w:p w:rsidR="00392D7E" w:rsidRDefault="00392D7E">
      <w:pPr>
        <w:spacing w:line="320" w:lineRule="exact"/>
      </w:pPr>
    </w:p>
    <w:p w:rsidR="00392D7E" w:rsidRDefault="00392D7E">
      <w:pPr>
        <w:spacing w:line="320" w:lineRule="exact"/>
      </w:pPr>
    </w:p>
    <w:p w:rsidR="00392D7E" w:rsidRDefault="00392D7E">
      <w:pPr>
        <w:spacing w:line="320" w:lineRule="exact"/>
        <w:ind w:firstLineChars="200" w:firstLine="420"/>
        <w:rPr>
          <w:rFonts w:ascii="微软雅黑" w:eastAsia="微软雅黑" w:hAnsi="微软雅黑"/>
          <w:szCs w:val="21"/>
        </w:rPr>
      </w:pPr>
    </w:p>
    <w:sectPr w:rsidR="00392D7E">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08" w:rsidRDefault="00D24908">
      <w:r>
        <w:separator/>
      </w:r>
    </w:p>
  </w:endnote>
  <w:endnote w:type="continuationSeparator" w:id="0">
    <w:p w:rsidR="00D24908" w:rsidRDefault="00D2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7E" w:rsidRDefault="00D2490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C57A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57AE">
      <w:rPr>
        <w:b/>
        <w:noProof/>
      </w:rPr>
      <w:t>6</w:t>
    </w:r>
    <w:r>
      <w:rPr>
        <w:b/>
        <w:sz w:val="24"/>
        <w:szCs w:val="24"/>
      </w:rPr>
      <w:fldChar w:fldCharType="end"/>
    </w:r>
  </w:p>
  <w:p w:rsidR="00392D7E" w:rsidRDefault="00392D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08" w:rsidRDefault="00D24908">
      <w:r>
        <w:separator/>
      </w:r>
    </w:p>
  </w:footnote>
  <w:footnote w:type="continuationSeparator" w:id="0">
    <w:p w:rsidR="00D24908" w:rsidRDefault="00D2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7E" w:rsidRDefault="00D24908">
    <w:pPr>
      <w:pStyle w:val="a6"/>
      <w:pBdr>
        <w:bottom w:val="single" w:sz="4" w:space="0" w:color="auto"/>
      </w:pBdr>
      <w:jc w:val="left"/>
      <w:rPr>
        <w:rFonts w:ascii="微软雅黑" w:eastAsia="微软雅黑" w:hAnsi="微软雅黑"/>
        <w:b/>
      </w:rPr>
    </w:pPr>
    <w:r>
      <w:rPr>
        <w:noProof/>
      </w:rP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ascii="微软雅黑" w:eastAsia="微软雅黑" w:hAnsi="微软雅黑" w:hint="eastAsia"/>
        <w:b/>
      </w:rPr>
      <w:t>202101</w:t>
    </w:r>
    <w:r>
      <w:rPr>
        <w:rFonts w:ascii="微软雅黑" w:eastAsia="微软雅黑" w:hAnsi="微软雅黑" w:hint="eastAsia"/>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12D0"/>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2D7E"/>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24908"/>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C57AE"/>
    <w:rsid w:val="00FD08F6"/>
    <w:rsid w:val="00FE0D10"/>
    <w:rsid w:val="00FF7F08"/>
    <w:rsid w:val="01557AD7"/>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B2142F"/>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7"/>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7"/>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865</Words>
  <Characters>4931</Characters>
  <Application>Microsoft Office Word</Application>
  <DocSecurity>0</DocSecurity>
  <Lines>41</Lines>
  <Paragraphs>11</Paragraphs>
  <ScaleCrop>false</ScaleCrop>
  <Company>crbank</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程凤琴</dc:creator>
  <cp:lastModifiedBy>乐骏</cp:lastModifiedBy>
  <cp:revision>3</cp:revision>
  <cp:lastPrinted>2020-04-09T06:43:00Z</cp:lastPrinted>
  <dcterms:created xsi:type="dcterms:W3CDTF">2022-06-27T08:26:00Z</dcterms:created>
  <dcterms:modified xsi:type="dcterms:W3CDTF">2022-06-27T08:27:00Z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