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bookmarkStart w:id="2" w:name="_GoBack"/>
      <w:bookmarkEnd w:id="2"/>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珠海华润银行润悦1号第146期理财产品说明书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珠海华润银行润悦1号第146期理财产品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润悦1号第146期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C1082921000090</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募集规模不超过5000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2021年11月10日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2022年02月16日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98天。实际产品期限受制于银行提前终止及产品到期条款，珠海华润银行可根据情况进行调整。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hint="default" w:ascii="微软雅黑" w:hAnsi="微软雅黑" w:eastAsia="微软雅黑"/>
                <w:szCs w:val="21"/>
                <w:u w:val="single"/>
                <w:lang w:val="en-US" w:eastAsia="zh-CN"/>
              </w:rPr>
            </w:pPr>
            <w:r>
              <w:rPr>
                <w:rFonts w:hint="eastAsia" w:ascii="微软雅黑" w:hAnsi="微软雅黑" w:eastAsia="微软雅黑"/>
                <w:szCs w:val="21"/>
              </w:rPr>
              <w:t>认购起点金额为5万元；超过认购起点部分，以1000元递增。</w:t>
            </w:r>
            <w:r>
              <w:rPr>
                <w:rFonts w:hint="eastAsia" w:ascii="微软雅黑" w:hAnsi="微软雅黑" w:eastAsia="微软雅黑"/>
                <w:szCs w:val="21"/>
                <w:lang w:eastAsia="zh-CN"/>
              </w:rPr>
              <w:t>原则上单一客户购买累计金额不超过</w:t>
            </w:r>
            <w:r>
              <w:rPr>
                <w:rFonts w:hint="eastAsia" w:ascii="微软雅黑" w:hAnsi="微软雅黑" w:eastAsia="微软雅黑"/>
                <w:szCs w:val="21"/>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2021年11月03日9:00至2021年11月09日17:00，珠海华润银行有权提前结束认购并调整相关日期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4.05％（年化）。该业绩比较基准仅作为计算浮动管理费的依据，不构成珠海华润银行对本理财产品的任何收益承诺。</w:t>
            </w:r>
            <w:r>
              <w:rPr>
                <w:rFonts w:hint="eastAsia" w:ascii="微软雅黑" w:hAnsi="微软雅黑" w:eastAsia="微软雅黑" w:cs="微软雅黑"/>
                <w:b/>
                <w:bCs/>
                <w:szCs w:val="21"/>
              </w:rPr>
              <w:t>理财产品过往业绩不代表其未来表现，不等于理财产品实际收益，投资须谨慎。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计提频率为产品每一估值日。</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本理财产品投资于符合监管要求的固定收益类资产</w:t>
      </w:r>
      <w:r>
        <w:rPr>
          <w:rFonts w:hint="eastAsia" w:ascii="微软雅黑" w:hAnsi="微软雅黑" w:eastAsia="微软雅黑"/>
          <w:szCs w:val="21"/>
          <w:lang w:eastAsia="zh-CN"/>
        </w:rPr>
        <w:t>、权益类资产及其他资产</w:t>
      </w:r>
      <w:r>
        <w:rPr>
          <w:rFonts w:hint="eastAsia" w:ascii="微软雅黑" w:hAnsi="微软雅黑" w:eastAsia="微软雅黑"/>
          <w:szCs w:val="21"/>
        </w:rPr>
        <w:t>，</w:t>
      </w:r>
      <w:r>
        <w:rPr>
          <w:rFonts w:hint="eastAsia" w:ascii="微软雅黑" w:hAnsi="微软雅黑" w:eastAsia="微软雅黑"/>
          <w:szCs w:val="21"/>
          <w:lang w:eastAsia="zh-CN"/>
        </w:rPr>
        <w:t>属于固定收益类产品。</w:t>
      </w:r>
      <w:r>
        <w:rPr>
          <w:rFonts w:hint="eastAsia" w:ascii="微软雅黑" w:hAnsi="微软雅黑" w:eastAsia="微软雅黑"/>
          <w:szCs w:val="21"/>
        </w:rPr>
        <w:t>固定收益类资产包括但不限于货币市场工具类、债券类、其他符合监管要求的债权类资产</w:t>
      </w:r>
      <w:r>
        <w:rPr>
          <w:rFonts w:hint="eastAsia" w:ascii="微软雅黑" w:hAnsi="微软雅黑" w:eastAsia="微软雅黑"/>
          <w:szCs w:val="21"/>
          <w:lang w:eastAsia="zh-CN"/>
        </w:rPr>
        <w:t>、股权收益权、信托计划、资管计划</w:t>
      </w:r>
      <w:r>
        <w:rPr>
          <w:rFonts w:hint="eastAsia" w:ascii="微软雅黑" w:hAnsi="微软雅黑" w:eastAsia="微软雅黑"/>
          <w:szCs w:val="21"/>
        </w:rPr>
        <w:t>等。</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eastAsia="zh-CN"/>
              </w:rPr>
              <w:t>权益类资产</w:t>
            </w:r>
          </w:p>
        </w:tc>
        <w:tc>
          <w:tcPr>
            <w:tcW w:w="2651"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其他资产</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lang w:val="en-US" w:eastAsia="zh-CN"/>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2021年11月10日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2022年02月16日（以实际到期日为准）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w:t>
      </w:r>
      <w:r>
        <w:rPr>
          <w:rFonts w:ascii="微软雅黑" w:hAnsi="微软雅黑" w:eastAsia="微软雅黑"/>
          <w:szCs w:val="21"/>
        </w:rPr>
        <w:t>T</w:t>
      </w:r>
      <w:r>
        <w:rPr>
          <w:rFonts w:hint="eastAsia" w:ascii="微软雅黑" w:hAnsi="微软雅黑" w:eastAsia="微软雅黑"/>
          <w:szCs w:val="21"/>
        </w:rPr>
        <w:t>日对</w:t>
      </w:r>
      <w:r>
        <w:rPr>
          <w:rFonts w:ascii="微软雅黑" w:hAnsi="微软雅黑" w:eastAsia="微软雅黑"/>
          <w:szCs w:val="21"/>
        </w:rPr>
        <w:t>T-1</w:t>
      </w:r>
      <w:r>
        <w:rPr>
          <w:rFonts w:hint="eastAsia" w:ascii="微软雅黑" w:hAnsi="微软雅黑" w:eastAsia="微软雅黑"/>
          <w:szCs w:val="21"/>
        </w:rPr>
        <w:t>日持有资产进行估值，</w:t>
      </w:r>
      <w:r>
        <w:rPr>
          <w:rFonts w:ascii="微软雅黑" w:hAnsi="微软雅黑" w:eastAsia="微软雅黑"/>
          <w:szCs w:val="21"/>
        </w:rPr>
        <w:t>T</w:t>
      </w:r>
      <w:r>
        <w:rPr>
          <w:rFonts w:hint="eastAsia" w:ascii="微软雅黑" w:hAnsi="微软雅黑" w:eastAsia="微软雅黑"/>
          <w:szCs w:val="21"/>
        </w:rPr>
        <w:t>日、</w:t>
      </w:r>
      <w:r>
        <w:rPr>
          <w:rFonts w:ascii="微软雅黑" w:hAnsi="微软雅黑" w:eastAsia="微软雅黑"/>
          <w:szCs w:val="21"/>
        </w:rPr>
        <w:t>T-1</w:t>
      </w:r>
      <w:r>
        <w:rPr>
          <w:rFonts w:hint="eastAsia" w:ascii="微软雅黑" w:hAnsi="微软雅黑" w:eastAsia="微软雅黑"/>
          <w:szCs w:val="21"/>
        </w:rPr>
        <w:t>日均为工作日，非工作日不进行估值。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）银行存款以本金列示，逐日计提利息；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2.债券类的估值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）以持有到期为目的持有的债券按摊余成本法估值；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）以交易为目的持有的债券按市价法估值。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3.债权类项目的估值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）非标债权类项目以摊余成本法估值；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）标准化债权项目中，以持有到期为目的持有的债权按摊余成本法估值，以交易为目的持有的债权按市价法估值。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其他资产存在并可以确定公允价值的，以公允价值计算，公允价值不能确定的按取得时的成本按摊余成本法计算。</w:t>
      </w:r>
    </w:p>
    <w:p>
      <w:pPr>
        <w:numPr>
          <w:ilvl w:val="0"/>
          <w:numId w:val="1"/>
        </w:num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国家有最新规定的，按其规定进行估值。</w:t>
      </w:r>
    </w:p>
    <w:p>
      <w:pPr>
        <w:numPr>
          <w:ilvl w:val="255"/>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DE583"/>
    <w:multiLevelType w:val="singleLevel"/>
    <w:tmpl w:val="BF6DE58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8CB"/>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39B0E3B"/>
    <w:rsid w:val="0543058E"/>
    <w:rsid w:val="0923509C"/>
    <w:rsid w:val="0A785E9B"/>
    <w:rsid w:val="0C156F3E"/>
    <w:rsid w:val="0C244CE7"/>
    <w:rsid w:val="0D004E3D"/>
    <w:rsid w:val="107C2FD5"/>
    <w:rsid w:val="112E4BAC"/>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3CB632C"/>
    <w:rsid w:val="44251D0F"/>
    <w:rsid w:val="481F78B1"/>
    <w:rsid w:val="4A4235FD"/>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kejunjie</cp:lastModifiedBy>
  <cp:lastPrinted>2020-04-09T06:43:00Z</cp:lastPrinted>
  <dcterms:modified xsi:type="dcterms:W3CDTF">2021-11-10T03:07:34Z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