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ascii="微软雅黑" w:hAnsi="微软雅黑" w:eastAsia="微软雅黑"/>
          <w:b/>
          <w:sz w:val="28"/>
          <w:szCs w:val="28"/>
        </w:rPr>
      </w:pPr>
      <w:bookmarkStart w:id="2" w:name="_GoBack"/>
      <w:bookmarkEnd w:id="2"/>
    </w:p>
    <w:p>
      <w:pPr>
        <w:spacing w:line="320" w:lineRule="exact"/>
        <w:jc w:val="center"/>
        <w:rPr>
          <w:rFonts w:ascii="微软雅黑" w:hAnsi="微软雅黑" w:eastAsia="微软雅黑"/>
          <w:b/>
          <w:sz w:val="28"/>
          <w:szCs w:val="28"/>
        </w:rPr>
      </w:pPr>
      <w:r>
        <w:rPr>
          <w:rFonts w:hint="eastAsia" w:ascii="微软雅黑" w:hAnsi="微软雅黑" w:eastAsia="微软雅黑"/>
          <w:b/>
          <w:sz w:val="28"/>
          <w:szCs w:val="28"/>
        </w:rPr>
        <w:t>珠海华润银行润悦1号第139期理财产品说明书</w:t>
      </w:r>
    </w:p>
    <w:p>
      <w:pPr>
        <w:spacing w:line="320" w:lineRule="exact"/>
        <w:rPr>
          <w:rFonts w:ascii="微软雅黑" w:hAnsi="微软雅黑" w:eastAsia="微软雅黑"/>
          <w:szCs w:val="21"/>
        </w:rPr>
      </w:pPr>
    </w:p>
    <w:p>
      <w:pPr>
        <w:spacing w:line="320" w:lineRule="exact"/>
        <w:rPr>
          <w:rFonts w:ascii="微软雅黑" w:hAnsi="微软雅黑" w:eastAsia="微软雅黑"/>
          <w:b/>
          <w:szCs w:val="21"/>
        </w:rPr>
      </w:pPr>
      <w:r>
        <w:rPr>
          <w:rFonts w:hint="eastAsia" w:ascii="微软雅黑" w:hAnsi="微软雅黑" w:eastAsia="微软雅黑"/>
          <w:b/>
          <w:szCs w:val="21"/>
        </w:rPr>
        <w:t xml:space="preserve">一、产品概述 </w:t>
      </w:r>
    </w:p>
    <w:tbl>
      <w:tblPr>
        <w:tblStyle w:val="7"/>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产品名称</w:t>
            </w: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珠海华润银行润悦1号第139期理财产品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产品简称</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润悦1号第139期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产品代码</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RY10139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vAlign w:val="center"/>
          </w:tcPr>
          <w:p>
            <w:pPr>
              <w:spacing w:line="320" w:lineRule="exact"/>
              <w:rPr>
                <w:rFonts w:ascii="微软雅黑" w:hAnsi="微软雅黑" w:eastAsia="微软雅黑"/>
                <w:szCs w:val="21"/>
              </w:rPr>
            </w:pPr>
            <w:r>
              <w:rPr>
                <w:rFonts w:hint="eastAsia" w:ascii="微软雅黑" w:hAnsi="微软雅黑" w:eastAsia="微软雅黑"/>
                <w:szCs w:val="21"/>
              </w:rPr>
              <w:t>理财信息登记系统登记编码</w:t>
            </w:r>
          </w:p>
        </w:tc>
        <w:tc>
          <w:tcPr>
            <w:tcW w:w="7200" w:type="dxa"/>
            <w:vAlign w:val="center"/>
          </w:tcPr>
          <w:p>
            <w:pPr>
              <w:spacing w:line="320" w:lineRule="exact"/>
              <w:rPr>
                <w:rFonts w:hint="eastAsia" w:ascii="微软雅黑" w:hAnsi="微软雅黑" w:eastAsia="微软雅黑"/>
                <w:szCs w:val="21"/>
              </w:rPr>
            </w:pPr>
            <w:r>
              <w:rPr>
                <w:rFonts w:hint="eastAsia" w:ascii="微软雅黑" w:hAnsi="微软雅黑" w:eastAsia="微软雅黑"/>
                <w:szCs w:val="21"/>
              </w:rPr>
              <w:t>C1082921000083</w:t>
            </w:r>
          </w:p>
          <w:p>
            <w:pPr>
              <w:spacing w:line="320" w:lineRule="exact"/>
              <w:rPr>
                <w:rFonts w:ascii="微软雅黑" w:hAnsi="微软雅黑" w:eastAsia="微软雅黑"/>
                <w:szCs w:val="21"/>
              </w:rPr>
            </w:pPr>
            <w:r>
              <w:rPr>
                <w:rFonts w:hint="eastAsia" w:ascii="微软雅黑" w:hAnsi="微软雅黑" w:eastAsia="微软雅黑"/>
                <w:szCs w:val="21"/>
              </w:rPr>
              <w:t>客户可根据该登记编码在“中国理财网（</w:t>
            </w:r>
            <w:r>
              <w:rPr>
                <w:rFonts w:ascii="微软雅黑" w:hAnsi="微软雅黑" w:eastAsia="微软雅黑"/>
                <w:szCs w:val="21"/>
              </w:rPr>
              <w:t>www.chinawealth.com.cn</w:t>
            </w:r>
            <w:r>
              <w:rPr>
                <w:rFonts w:hint="eastAsia" w:ascii="微软雅黑" w:hAnsi="微软雅黑" w:eastAsia="微软雅黑"/>
                <w:szCs w:val="21"/>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 xml:space="preserve">投资及收益币种   </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产品类型</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收益类型</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发行方式</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投资及收益币种</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产品风险评级</w:t>
            </w:r>
          </w:p>
        </w:tc>
        <w:tc>
          <w:tcPr>
            <w:tcW w:w="7200" w:type="dxa"/>
          </w:tcPr>
          <w:p>
            <w:pPr>
              <w:spacing w:line="320" w:lineRule="exact"/>
              <w:rPr>
                <w:rFonts w:ascii="微软雅黑" w:hAnsi="微软雅黑" w:eastAsia="微软雅黑"/>
                <w:szCs w:val="21"/>
              </w:rPr>
            </w:pPr>
            <w:r>
              <w:rPr>
                <w:rFonts w:ascii="微软雅黑" w:hAnsi="微软雅黑" w:eastAsia="微软雅黑"/>
                <w:szCs w:val="21"/>
              </w:rPr>
              <w:t>R2级</w:t>
            </w:r>
            <w:r>
              <w:rPr>
                <w:rFonts w:hint="eastAsia" w:ascii="微软雅黑" w:hAnsi="微软雅黑" w:eastAsia="微软雅黑"/>
                <w:szCs w:val="21"/>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适合客户</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销售渠道</w:t>
            </w:r>
          </w:p>
        </w:tc>
        <w:tc>
          <w:tcPr>
            <w:tcW w:w="7200" w:type="dxa"/>
          </w:tcPr>
          <w:p>
            <w:pPr>
              <w:spacing w:line="320" w:lineRule="exact"/>
              <w:rPr>
                <w:rFonts w:ascii="微软雅黑" w:hAnsi="微软雅黑" w:eastAsia="微软雅黑"/>
                <w:szCs w:val="21"/>
              </w:rPr>
            </w:pPr>
            <w:r>
              <w:rPr>
                <w:rFonts w:hint="eastAsia" w:ascii="微软雅黑" w:hAnsi="微软雅黑" w:eastAsia="微软雅黑"/>
                <w:bCs/>
                <w:szCs w:val="21"/>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产品规模</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募集规模不超过20000</w:t>
            </w:r>
            <w:r>
              <w:rPr>
                <w:rFonts w:hint="eastAsia" w:ascii="微软雅黑" w:hAnsi="微软雅黑" w:eastAsia="微软雅黑"/>
                <w:szCs w:val="21"/>
                <w:lang w:eastAsia="zh-CN"/>
              </w:rPr>
              <w:t>万</w:t>
            </w:r>
            <w:r>
              <w:rPr>
                <w:rFonts w:ascii="微软雅黑" w:hAnsi="微软雅黑" w:eastAsia="微软雅黑"/>
                <w:szCs w:val="21"/>
              </w:rPr>
              <w:t>元。</w:t>
            </w:r>
          </w:p>
          <w:p>
            <w:pPr>
              <w:spacing w:line="320" w:lineRule="exact"/>
              <w:rPr>
                <w:rFonts w:ascii="微软雅黑" w:hAnsi="微软雅黑" w:eastAsia="微软雅黑"/>
                <w:szCs w:val="21"/>
              </w:rPr>
            </w:pPr>
            <w:r>
              <w:rPr>
                <w:rFonts w:hint="eastAsia" w:ascii="微软雅黑" w:hAnsi="微软雅黑" w:eastAsia="微软雅黑"/>
                <w:szCs w:val="21"/>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成立日</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u w:val="single"/>
              </w:rPr>
              <w:t>2021年10月20日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到期日</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u w:val="single"/>
              </w:rPr>
              <w:t>2023年11月21日</w:t>
            </w:r>
            <w:r>
              <w:rPr>
                <w:rFonts w:hint="eastAsia" w:ascii="微软雅黑" w:hAnsi="微软雅黑" w:eastAsia="微软雅黑"/>
                <w:szCs w:val="21"/>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期限</w:t>
            </w:r>
          </w:p>
        </w:tc>
        <w:tc>
          <w:tcPr>
            <w:tcW w:w="7200" w:type="dxa"/>
          </w:tcPr>
          <w:p>
            <w:pPr>
              <w:spacing w:line="320" w:lineRule="exact"/>
              <w:rPr>
                <w:rFonts w:ascii="微软雅黑" w:hAnsi="微软雅黑" w:eastAsia="微软雅黑"/>
                <w:szCs w:val="21"/>
                <w:u w:val="single"/>
              </w:rPr>
            </w:pPr>
            <w:r>
              <w:rPr>
                <w:rFonts w:hint="eastAsia" w:ascii="微软雅黑" w:hAnsi="微软雅黑" w:eastAsia="微软雅黑"/>
                <w:szCs w:val="21"/>
              </w:rPr>
              <w:t>762天。实际产品期限受制于银行提前终止及产品到期条款，珠海华润银行可根据情况进行调整。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存续期</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认购起点金额</w:t>
            </w:r>
          </w:p>
        </w:tc>
        <w:tc>
          <w:tcPr>
            <w:tcW w:w="7200" w:type="dxa"/>
          </w:tcPr>
          <w:p>
            <w:pPr>
              <w:spacing w:line="320" w:lineRule="exact"/>
              <w:rPr>
                <w:rFonts w:ascii="微软雅黑" w:hAnsi="微软雅黑" w:eastAsia="微软雅黑"/>
                <w:szCs w:val="21"/>
                <w:u w:val="single"/>
              </w:rPr>
            </w:pPr>
            <w:r>
              <w:rPr>
                <w:rFonts w:hint="eastAsia" w:ascii="微软雅黑" w:hAnsi="微软雅黑" w:eastAsia="微软雅黑"/>
                <w:szCs w:val="21"/>
              </w:rPr>
              <w:t>认购起点金额为1万元；超过认购起点部分，以1000元递增。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单笔认购上限</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认购期</w:t>
            </w:r>
          </w:p>
          <w:p>
            <w:pPr>
              <w:spacing w:line="320" w:lineRule="exact"/>
              <w:rPr>
                <w:rFonts w:ascii="微软雅黑" w:hAnsi="微软雅黑" w:eastAsia="微软雅黑"/>
                <w:b/>
                <w:szCs w:val="21"/>
              </w:rPr>
            </w:pP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2021年10月13日9:00至2021年10月19日17:00，珠海华润银行有权提前结束认购并调整相关日期</w:t>
            </w:r>
            <w:r>
              <w:rPr>
                <w:rFonts w:ascii="微软雅黑" w:hAnsi="微软雅黑" w:eastAsia="微软雅黑"/>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资金到账日</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清算期</w:t>
            </w: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管理人</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托管人</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lang w:eastAsia="zh-CN"/>
              </w:rPr>
              <w:t>宁波</w:t>
            </w:r>
            <w:r>
              <w:rPr>
                <w:rFonts w:hint="eastAsia" w:ascii="微软雅黑" w:hAnsi="微软雅黑" w:eastAsia="微软雅黑"/>
                <w:szCs w:val="21"/>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业绩比较基准</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4.48％（年化）。该业绩比较基准仅作为计算浮动管理费的依据，不构成珠海华润银行对本理财产品的任何收益承诺。</w:t>
            </w:r>
            <w:r>
              <w:rPr>
                <w:rFonts w:hint="eastAsia" w:ascii="微软雅黑" w:hAnsi="微软雅黑" w:eastAsia="微软雅黑" w:cs="微软雅黑"/>
                <w:b/>
                <w:bCs/>
                <w:szCs w:val="21"/>
              </w:rPr>
              <w:t>理财产品过往业绩不代表其未来表现，不等于理财产品实际收益，投资须谨慎。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相关费用</w:t>
            </w:r>
          </w:p>
        </w:tc>
        <w:tc>
          <w:tcPr>
            <w:tcW w:w="7200" w:type="dxa"/>
          </w:tcPr>
          <w:p>
            <w:pPr>
              <w:spacing w:line="320" w:lineRule="exact"/>
              <w:rPr>
                <w:rFonts w:hint="eastAsia" w:ascii="微软雅黑" w:hAnsi="微软雅黑" w:eastAsia="微软雅黑"/>
                <w:szCs w:val="21"/>
                <w:lang w:eastAsia="zh-CN"/>
              </w:rPr>
            </w:pPr>
            <w:bookmarkStart w:id="0" w:name="OLE_LINK2"/>
            <w:r>
              <w:rPr>
                <w:rFonts w:hint="eastAsia" w:ascii="微软雅黑" w:hAnsi="微软雅黑" w:eastAsia="微软雅黑"/>
                <w:szCs w:val="21"/>
                <w:lang w:eastAsia="zh-CN"/>
              </w:rPr>
              <w:t>一、固定费用</w:t>
            </w:r>
          </w:p>
          <w:p>
            <w:pPr>
              <w:spacing w:line="320" w:lineRule="exact"/>
              <w:rPr>
                <w:rFonts w:hint="eastAsia" w:ascii="微软雅黑" w:hAnsi="微软雅黑" w:eastAsia="微软雅黑"/>
                <w:szCs w:val="21"/>
              </w:rPr>
            </w:pPr>
            <w:r>
              <w:rPr>
                <w:rFonts w:hint="eastAsia" w:ascii="微软雅黑" w:hAnsi="微软雅黑" w:eastAsia="微软雅黑"/>
                <w:szCs w:val="21"/>
              </w:rPr>
              <w:t>产品托管费：0.0</w:t>
            </w:r>
            <w:r>
              <w:rPr>
                <w:rFonts w:hint="eastAsia" w:ascii="微软雅黑" w:hAnsi="微软雅黑" w:eastAsia="微软雅黑"/>
                <w:szCs w:val="21"/>
                <w:lang w:val="en-US" w:eastAsia="zh-CN"/>
              </w:rPr>
              <w:t>08</w:t>
            </w:r>
            <w:r>
              <w:rPr>
                <w:rFonts w:hint="eastAsia" w:ascii="微软雅黑" w:hAnsi="微软雅黑" w:eastAsia="微软雅黑"/>
                <w:szCs w:val="21"/>
              </w:rPr>
              <w:t>%/年；</w:t>
            </w:r>
          </w:p>
          <w:p>
            <w:pPr>
              <w:spacing w:line="320" w:lineRule="exact"/>
              <w:rPr>
                <w:rFonts w:hint="eastAsia" w:ascii="微软雅黑" w:hAnsi="微软雅黑" w:eastAsia="微软雅黑"/>
                <w:szCs w:val="21"/>
              </w:rPr>
            </w:pPr>
            <w:r>
              <w:rPr>
                <w:rFonts w:hint="eastAsia" w:ascii="微软雅黑" w:hAnsi="微软雅黑" w:eastAsia="微软雅黑"/>
                <w:szCs w:val="21"/>
                <w:lang w:eastAsia="zh-CN"/>
              </w:rPr>
              <w:t>运营服务费：</w:t>
            </w:r>
            <w:r>
              <w:rPr>
                <w:rFonts w:hint="eastAsia" w:ascii="微软雅黑" w:hAnsi="微软雅黑" w:eastAsia="微软雅黑"/>
                <w:szCs w:val="21"/>
                <w:lang w:val="en-US" w:eastAsia="zh-CN"/>
              </w:rPr>
              <w:t>0.005%</w:t>
            </w:r>
            <w:r>
              <w:rPr>
                <w:rFonts w:hint="eastAsia" w:ascii="微软雅黑" w:hAnsi="微软雅黑" w:eastAsia="微软雅黑"/>
                <w:szCs w:val="21"/>
              </w:rPr>
              <w:t>/年</w:t>
            </w:r>
            <w:r>
              <w:rPr>
                <w:rFonts w:hint="eastAsia" w:ascii="微软雅黑" w:hAnsi="微软雅黑" w:eastAsia="微软雅黑"/>
                <w:szCs w:val="21"/>
                <w:lang w:eastAsia="zh-CN"/>
              </w:rPr>
              <w:t>；</w:t>
            </w:r>
          </w:p>
          <w:p>
            <w:pPr>
              <w:spacing w:line="320" w:lineRule="exact"/>
              <w:rPr>
                <w:rFonts w:hint="eastAsia" w:ascii="微软雅黑" w:hAnsi="微软雅黑" w:eastAsia="微软雅黑"/>
                <w:szCs w:val="21"/>
              </w:rPr>
            </w:pPr>
            <w:r>
              <w:rPr>
                <w:rFonts w:hint="eastAsia" w:ascii="微软雅黑" w:hAnsi="微软雅黑" w:eastAsia="微软雅黑"/>
                <w:szCs w:val="21"/>
              </w:rPr>
              <w:t>销售手续费：0.</w:t>
            </w:r>
            <w:r>
              <w:rPr>
                <w:rFonts w:hint="eastAsia" w:ascii="微软雅黑" w:hAnsi="微软雅黑" w:eastAsia="微软雅黑"/>
                <w:szCs w:val="21"/>
                <w:lang w:val="en-US" w:eastAsia="zh-CN"/>
              </w:rPr>
              <w:t>10</w:t>
            </w:r>
            <w:r>
              <w:rPr>
                <w:rFonts w:hint="eastAsia" w:ascii="微软雅黑" w:hAnsi="微软雅黑" w:eastAsia="微软雅黑"/>
                <w:szCs w:val="21"/>
              </w:rPr>
              <w:t>%/年；</w:t>
            </w:r>
          </w:p>
          <w:p>
            <w:pPr>
              <w:spacing w:line="320" w:lineRule="exact"/>
              <w:rPr>
                <w:rFonts w:hint="eastAsia" w:ascii="微软雅黑" w:hAnsi="微软雅黑" w:eastAsia="微软雅黑"/>
                <w:szCs w:val="21"/>
              </w:rPr>
            </w:pPr>
            <w:r>
              <w:rPr>
                <w:rFonts w:hint="eastAsia" w:ascii="微软雅黑" w:hAnsi="微软雅黑" w:eastAsia="微软雅黑"/>
                <w:szCs w:val="21"/>
              </w:rPr>
              <w:t>固定投资管理费：0.</w:t>
            </w:r>
            <w:r>
              <w:rPr>
                <w:rFonts w:hint="eastAsia" w:ascii="微软雅黑" w:hAnsi="微软雅黑" w:eastAsia="微软雅黑"/>
                <w:szCs w:val="21"/>
                <w:lang w:val="en-US" w:eastAsia="zh-CN"/>
              </w:rPr>
              <w:t>10</w:t>
            </w:r>
            <w:r>
              <w:rPr>
                <w:rFonts w:hint="eastAsia" w:ascii="微软雅黑" w:hAnsi="微软雅黑" w:eastAsia="微软雅黑"/>
                <w:szCs w:val="21"/>
              </w:rPr>
              <w:t>%/年；</w:t>
            </w:r>
          </w:p>
          <w:p>
            <w:pPr>
              <w:spacing w:line="320" w:lineRule="exact"/>
              <w:rPr>
                <w:rFonts w:hint="eastAsia" w:ascii="微软雅黑" w:hAnsi="微软雅黑" w:eastAsia="微软雅黑"/>
                <w:szCs w:val="21"/>
                <w:lang w:eastAsia="zh-CN"/>
              </w:rPr>
            </w:pPr>
            <w:r>
              <w:rPr>
                <w:rFonts w:hint="eastAsia" w:ascii="微软雅黑" w:hAnsi="微软雅黑" w:eastAsia="微软雅黑"/>
                <w:szCs w:val="21"/>
                <w:lang w:eastAsia="zh-CN"/>
              </w:rPr>
              <w:t>二、浮动费用</w:t>
            </w:r>
          </w:p>
          <w:p>
            <w:pPr>
              <w:spacing w:line="320" w:lineRule="exact"/>
              <w:rPr>
                <w:rFonts w:hint="eastAsia" w:ascii="微软雅黑" w:hAnsi="微软雅黑" w:eastAsia="微软雅黑"/>
                <w:szCs w:val="21"/>
              </w:rPr>
            </w:pPr>
            <w:r>
              <w:rPr>
                <w:rFonts w:hint="eastAsia" w:ascii="微软雅黑" w:hAnsi="微软雅黑" w:eastAsia="微软雅黑"/>
                <w:szCs w:val="21"/>
              </w:rPr>
              <w:t>扣除产品各项费用（包括不限于托管费、运营服务费、销售手续费和固定投资管理费）后，若本产品投资收益低于业绩比较基准（含），管理人不收取浮动投资管理费；若投资收益超过业绩比较基准，超过部分作为管理人的浮动投资管理费。</w:t>
            </w:r>
            <w:r>
              <w:rPr>
                <w:rFonts w:hint="eastAsia" w:ascii="微软雅黑" w:hAnsi="微软雅黑" w:eastAsia="微软雅黑"/>
                <w:szCs w:val="21"/>
                <w:lang w:eastAsia="zh-CN"/>
              </w:rPr>
              <w:t>浮动投资管理费精确到小数点后</w:t>
            </w:r>
            <w:r>
              <w:rPr>
                <w:rFonts w:hint="eastAsia" w:ascii="微软雅黑" w:hAnsi="微软雅黑" w:eastAsia="微软雅黑"/>
                <w:szCs w:val="21"/>
                <w:lang w:val="en-US" w:eastAsia="zh-CN"/>
              </w:rPr>
              <w:t>2位，小数点2位以后舍位。</w:t>
            </w:r>
          </w:p>
          <w:p>
            <w:pPr>
              <w:spacing w:line="320" w:lineRule="exact"/>
              <w:rPr>
                <w:rFonts w:hint="eastAsia" w:ascii="微软雅黑" w:hAnsi="微软雅黑" w:eastAsia="微软雅黑"/>
                <w:szCs w:val="21"/>
              </w:rPr>
            </w:pPr>
            <w:r>
              <w:rPr>
                <w:rFonts w:hint="eastAsia" w:ascii="微软雅黑" w:hAnsi="微软雅黑" w:eastAsia="微软雅黑"/>
                <w:szCs w:val="21"/>
              </w:rPr>
              <w:t>本产品暂不收取认购费用。</w:t>
            </w:r>
          </w:p>
          <w:p>
            <w:pPr>
              <w:spacing w:line="320" w:lineRule="exact"/>
              <w:rPr>
                <w:rFonts w:hint="eastAsia" w:ascii="微软雅黑" w:hAnsi="微软雅黑" w:eastAsia="微软雅黑"/>
                <w:szCs w:val="21"/>
                <w:lang w:eastAsia="zh-CN"/>
              </w:rPr>
            </w:pPr>
            <w:r>
              <w:rPr>
                <w:rFonts w:hint="eastAsia" w:ascii="微软雅黑" w:hAnsi="微软雅黑" w:eastAsia="微软雅黑"/>
                <w:szCs w:val="21"/>
                <w:lang w:eastAsia="zh-CN"/>
              </w:rPr>
              <w:t>三、固定投资管理费回拨</w:t>
            </w:r>
          </w:p>
          <w:p>
            <w:pPr>
              <w:spacing w:line="320" w:lineRule="exact"/>
              <w:rPr>
                <w:rFonts w:hint="eastAsia" w:ascii="微软雅黑" w:hAnsi="微软雅黑" w:eastAsia="微软雅黑"/>
                <w:szCs w:val="21"/>
                <w:lang w:eastAsia="zh-CN"/>
              </w:rPr>
            </w:pPr>
            <w:r>
              <w:rPr>
                <w:rFonts w:hint="eastAsia" w:ascii="微软雅黑" w:hAnsi="微软雅黑" w:eastAsia="微软雅黑"/>
                <w:szCs w:val="21"/>
              </w:rPr>
              <w:t>扣除产品固定费用后，若本产品的投资收益低于业绩比较基准，珠海华润银行将以固定投资管理费向客户进行回拨，直至客户收益达到业绩比较基准，但回拨总金额以银行收取的固定投资管理费为限。</w:t>
            </w:r>
          </w:p>
          <w:p>
            <w:pPr>
              <w:spacing w:line="320" w:lineRule="exact"/>
              <w:rPr>
                <w:rFonts w:ascii="微软雅黑" w:hAnsi="微软雅黑" w:eastAsia="微软雅黑"/>
                <w:szCs w:val="21"/>
              </w:rPr>
            </w:pPr>
            <w:r>
              <w:rPr>
                <w:rFonts w:hint="eastAsia" w:ascii="微软雅黑" w:hAnsi="微软雅黑" w:eastAsia="微软雅黑"/>
                <w:szCs w:val="21"/>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 xml:space="preserve">节假日 </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 xml:space="preserve">工作日 </w:t>
            </w: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税款</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rPr>
      </w:pP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二、投资对象</w:t>
      </w:r>
    </w:p>
    <w:p>
      <w:pPr>
        <w:adjustRightInd w:val="0"/>
        <w:snapToGrid w:val="0"/>
        <w:spacing w:line="320" w:lineRule="exact"/>
        <w:ind w:left="0" w:firstLine="420" w:firstLineChars="200"/>
        <w:rPr>
          <w:rFonts w:hint="eastAsia" w:ascii="微软雅黑" w:hAnsi="微软雅黑" w:eastAsia="微软雅黑"/>
          <w:szCs w:val="21"/>
        </w:rPr>
      </w:pPr>
      <w:r>
        <w:rPr>
          <w:rFonts w:hint="eastAsia" w:ascii="微软雅黑" w:hAnsi="微软雅黑" w:eastAsia="微软雅黑"/>
          <w:szCs w:val="21"/>
        </w:rPr>
        <w:t>本理财产品投资于符合监管要求的固定收益类资产</w:t>
      </w:r>
      <w:r>
        <w:rPr>
          <w:rFonts w:hint="eastAsia" w:ascii="微软雅黑" w:hAnsi="微软雅黑" w:eastAsia="微软雅黑"/>
          <w:szCs w:val="21"/>
          <w:lang w:eastAsia="zh-CN"/>
        </w:rPr>
        <w:t>、权益类资产及其他资产</w:t>
      </w:r>
      <w:r>
        <w:rPr>
          <w:rFonts w:hint="eastAsia" w:ascii="微软雅黑" w:hAnsi="微软雅黑" w:eastAsia="微软雅黑"/>
          <w:szCs w:val="21"/>
        </w:rPr>
        <w:t>，</w:t>
      </w:r>
      <w:r>
        <w:rPr>
          <w:rFonts w:hint="eastAsia" w:ascii="微软雅黑" w:hAnsi="微软雅黑" w:eastAsia="微软雅黑"/>
          <w:szCs w:val="21"/>
          <w:lang w:eastAsia="zh-CN"/>
        </w:rPr>
        <w:t>属于固定收益类产品。</w:t>
      </w:r>
      <w:r>
        <w:rPr>
          <w:rFonts w:hint="eastAsia" w:ascii="微软雅黑" w:hAnsi="微软雅黑" w:eastAsia="微软雅黑"/>
          <w:szCs w:val="21"/>
        </w:rPr>
        <w:t>固定收益类资产包括但不限于货币市场工具类、债券类、其他符合监管要求的债权类资产</w:t>
      </w:r>
      <w:r>
        <w:rPr>
          <w:rFonts w:hint="eastAsia" w:ascii="微软雅黑" w:hAnsi="微软雅黑" w:eastAsia="微软雅黑"/>
          <w:szCs w:val="21"/>
          <w:lang w:eastAsia="zh-CN"/>
        </w:rPr>
        <w:t>、股权收益权、信托计划、资管计划</w:t>
      </w:r>
      <w:r>
        <w:rPr>
          <w:rFonts w:hint="eastAsia" w:ascii="微软雅黑" w:hAnsi="微软雅黑" w:eastAsia="微软雅黑"/>
          <w:szCs w:val="21"/>
        </w:rPr>
        <w:t>等。</w:t>
      </w:r>
    </w:p>
    <w:p>
      <w:pPr>
        <w:adjustRightInd w:val="0"/>
        <w:snapToGrid w:val="0"/>
        <w:spacing w:line="320" w:lineRule="exact"/>
        <w:ind w:left="454"/>
        <w:rPr>
          <w:rFonts w:hint="eastAsia" w:ascii="微软雅黑" w:hAnsi="微软雅黑" w:eastAsia="微软雅黑"/>
          <w:szCs w:val="21"/>
        </w:rPr>
      </w:pPr>
      <w:r>
        <w:rPr>
          <w:rFonts w:hint="eastAsia" w:ascii="微软雅黑" w:hAnsi="微软雅黑" w:eastAsia="微软雅黑"/>
          <w:szCs w:val="21"/>
        </w:rPr>
        <w:t>各投资资产种类占总投资资产的计划投资比例如下：</w:t>
      </w:r>
    </w:p>
    <w:tbl>
      <w:tblPr>
        <w:tblStyle w:val="8"/>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tcPr>
          <w:p>
            <w:pPr>
              <w:adjustRightInd w:val="0"/>
              <w:snapToGrid w:val="0"/>
              <w:spacing w:line="320" w:lineRule="exact"/>
              <w:ind w:left="454"/>
              <w:rPr>
                <w:rFonts w:hint="eastAsia" w:ascii="微软雅黑" w:hAnsi="微软雅黑" w:eastAsia="微软雅黑"/>
                <w:szCs w:val="21"/>
              </w:rPr>
            </w:pPr>
            <w:r>
              <w:rPr>
                <w:rFonts w:hint="eastAsia" w:ascii="微软雅黑" w:hAnsi="微软雅黑" w:eastAsia="微软雅黑"/>
                <w:szCs w:val="21"/>
              </w:rPr>
              <w:t>资产种类</w:t>
            </w:r>
          </w:p>
        </w:tc>
        <w:tc>
          <w:tcPr>
            <w:tcW w:w="2651" w:type="dxa"/>
          </w:tcPr>
          <w:p>
            <w:pPr>
              <w:adjustRightInd w:val="0"/>
              <w:snapToGrid w:val="0"/>
              <w:spacing w:line="320" w:lineRule="exact"/>
              <w:ind w:left="454"/>
              <w:rPr>
                <w:rFonts w:hint="eastAsia" w:ascii="微软雅黑" w:hAnsi="微软雅黑" w:eastAsia="微软雅黑"/>
                <w:szCs w:val="21"/>
              </w:rPr>
            </w:pPr>
            <w:r>
              <w:rPr>
                <w:rFonts w:hint="eastAsia" w:ascii="微软雅黑" w:hAnsi="微软雅黑" w:eastAsia="微软雅黑"/>
                <w:szCs w:val="21"/>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tcPr>
          <w:p>
            <w:pPr>
              <w:adjustRightInd w:val="0"/>
              <w:snapToGrid w:val="0"/>
              <w:spacing w:line="320" w:lineRule="exact"/>
              <w:ind w:left="454"/>
              <w:rPr>
                <w:rFonts w:hint="eastAsia" w:ascii="微软雅黑" w:hAnsi="微软雅黑" w:eastAsia="微软雅黑"/>
                <w:szCs w:val="21"/>
                <w:lang w:eastAsia="zh-CN"/>
              </w:rPr>
            </w:pPr>
            <w:r>
              <w:rPr>
                <w:rFonts w:hint="eastAsia" w:ascii="微软雅黑" w:hAnsi="微软雅黑" w:eastAsia="微软雅黑"/>
                <w:szCs w:val="21"/>
                <w:lang w:eastAsia="zh-CN"/>
              </w:rPr>
              <w:t>固定收益类资产</w:t>
            </w:r>
          </w:p>
        </w:tc>
        <w:tc>
          <w:tcPr>
            <w:tcW w:w="2651" w:type="dxa"/>
          </w:tcPr>
          <w:p>
            <w:pPr>
              <w:adjustRightInd w:val="0"/>
              <w:snapToGrid w:val="0"/>
              <w:spacing w:line="320" w:lineRule="exact"/>
              <w:ind w:left="454"/>
              <w:rPr>
                <w:rFonts w:hint="eastAsia" w:ascii="微软雅黑" w:hAnsi="微软雅黑" w:eastAsia="微软雅黑"/>
                <w:szCs w:val="21"/>
                <w:lang w:val="en-US" w:eastAsia="zh-CN"/>
              </w:rPr>
            </w:pPr>
            <w:r>
              <w:rPr>
                <w:rFonts w:hint="eastAsia" w:ascii="微软雅黑" w:hAnsi="微软雅黑" w:eastAsia="微软雅黑"/>
                <w:szCs w:val="21"/>
                <w:lang w:val="en-US" w:eastAsia="zh-CN"/>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vAlign w:val="top"/>
          </w:tcPr>
          <w:p>
            <w:pPr>
              <w:adjustRightInd w:val="0"/>
              <w:snapToGrid w:val="0"/>
              <w:spacing w:line="320" w:lineRule="exact"/>
              <w:ind w:left="454"/>
              <w:rPr>
                <w:rFonts w:hint="eastAsia" w:ascii="微软雅黑" w:hAnsi="微软雅黑" w:eastAsia="微软雅黑"/>
                <w:szCs w:val="21"/>
                <w:lang w:val="en-US" w:eastAsia="zh-CN"/>
              </w:rPr>
            </w:pPr>
            <w:r>
              <w:rPr>
                <w:rFonts w:hint="eastAsia" w:ascii="微软雅黑" w:hAnsi="微软雅黑" w:eastAsia="微软雅黑"/>
                <w:szCs w:val="21"/>
                <w:lang w:eastAsia="zh-CN"/>
              </w:rPr>
              <w:t>权益类资产</w:t>
            </w:r>
          </w:p>
        </w:tc>
        <w:tc>
          <w:tcPr>
            <w:tcW w:w="2651" w:type="dxa"/>
            <w:vAlign w:val="top"/>
          </w:tcPr>
          <w:p>
            <w:pPr>
              <w:adjustRightInd w:val="0"/>
              <w:snapToGrid w:val="0"/>
              <w:spacing w:line="320" w:lineRule="exact"/>
              <w:ind w:left="454"/>
              <w:rPr>
                <w:rFonts w:hint="eastAsia" w:ascii="微软雅黑" w:hAnsi="微软雅黑" w:eastAsia="微软雅黑"/>
                <w:szCs w:val="21"/>
                <w:lang w:val="en-US" w:eastAsia="zh-CN"/>
              </w:rPr>
            </w:pPr>
            <w:r>
              <w:rPr>
                <w:rFonts w:hint="eastAsia" w:ascii="微软雅黑" w:hAnsi="微软雅黑" w:eastAsia="微软雅黑"/>
                <w:szCs w:val="21"/>
                <w:lang w:val="en-US" w:eastAsia="zh-CN"/>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tcPr>
          <w:p>
            <w:pPr>
              <w:adjustRightInd w:val="0"/>
              <w:snapToGrid w:val="0"/>
              <w:spacing w:line="320" w:lineRule="exact"/>
              <w:ind w:left="454"/>
              <w:rPr>
                <w:rFonts w:hint="eastAsia" w:ascii="微软雅黑" w:hAnsi="微软雅黑" w:eastAsia="微软雅黑"/>
                <w:szCs w:val="21"/>
                <w:lang w:eastAsia="zh-CN"/>
              </w:rPr>
            </w:pPr>
            <w:r>
              <w:rPr>
                <w:rFonts w:hint="eastAsia" w:ascii="微软雅黑" w:hAnsi="微软雅黑" w:eastAsia="微软雅黑"/>
                <w:szCs w:val="21"/>
                <w:lang w:eastAsia="zh-CN"/>
              </w:rPr>
              <w:t>其他资产</w:t>
            </w:r>
          </w:p>
        </w:tc>
        <w:tc>
          <w:tcPr>
            <w:tcW w:w="2651" w:type="dxa"/>
          </w:tcPr>
          <w:p>
            <w:pPr>
              <w:adjustRightInd w:val="0"/>
              <w:snapToGrid w:val="0"/>
              <w:spacing w:line="320" w:lineRule="exact"/>
              <w:ind w:left="454"/>
              <w:rPr>
                <w:rFonts w:hint="eastAsia" w:ascii="微软雅黑" w:hAnsi="微软雅黑" w:eastAsia="微软雅黑"/>
                <w:szCs w:val="21"/>
              </w:rPr>
            </w:pPr>
            <w:r>
              <w:rPr>
                <w:rFonts w:hint="eastAsia" w:ascii="微软雅黑" w:hAnsi="微软雅黑" w:eastAsia="微软雅黑"/>
                <w:szCs w:val="21"/>
                <w:lang w:val="en-US" w:eastAsia="zh-CN"/>
              </w:rPr>
              <w:t>0%-20%</w:t>
            </w:r>
          </w:p>
        </w:tc>
      </w:tr>
    </w:tbl>
    <w:p>
      <w:pPr>
        <w:adjustRightInd w:val="0"/>
        <w:snapToGrid w:val="0"/>
        <w:spacing w:line="320" w:lineRule="exact"/>
        <w:ind w:left="0" w:firstLine="420" w:firstLineChars="200"/>
        <w:rPr>
          <w:rFonts w:hint="eastAsia" w:ascii="微软雅黑" w:hAnsi="微软雅黑" w:eastAsia="微软雅黑"/>
          <w:szCs w:val="21"/>
        </w:rPr>
      </w:pPr>
      <w:r>
        <w:rPr>
          <w:rFonts w:hint="eastAsia" w:ascii="微软雅黑" w:hAnsi="微软雅黑" w:eastAsia="微软雅黑"/>
          <w:szCs w:val="21"/>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left="0" w:firstLine="420" w:firstLineChars="200"/>
        <w:rPr>
          <w:rFonts w:hint="eastAsia" w:ascii="微软雅黑" w:hAnsi="微软雅黑" w:eastAsia="微软雅黑"/>
          <w:szCs w:val="21"/>
        </w:rPr>
      </w:pPr>
      <w:r>
        <w:rPr>
          <w:rFonts w:hint="eastAsia" w:ascii="微软雅黑" w:hAnsi="微软雅黑" w:eastAsia="微软雅黑"/>
          <w:szCs w:val="21"/>
        </w:rPr>
        <w:t>珠海华润银行有权根据市场情况，在不损害客户利益且根据约定提前公告的情况下，对本理财产品的投资范围、投资资产种类和投资比例进行调整。</w:t>
      </w:r>
    </w:p>
    <w:p>
      <w:pPr>
        <w:adjustRightInd w:val="0"/>
        <w:snapToGrid w:val="0"/>
        <w:spacing w:line="320" w:lineRule="exact"/>
        <w:ind w:left="454"/>
        <w:rPr>
          <w:rFonts w:ascii="微软雅黑" w:hAnsi="微软雅黑" w:eastAsia="微软雅黑" w:cs="Arial"/>
          <w:b/>
          <w:szCs w:val="21"/>
        </w:rPr>
      </w:pP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三、理财产品净值及份额的计算</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理财产品资产净值=理财产品总资产-总负债。</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理财产品份额净值=理财产品资产净值/理财产品存续份额，理财产品份额净值保留至小数点后</w:t>
      </w:r>
      <w:r>
        <w:rPr>
          <w:rFonts w:hint="eastAsia" w:ascii="微软雅黑" w:hAnsi="微软雅黑" w:eastAsia="微软雅黑"/>
          <w:szCs w:val="21"/>
          <w:lang w:val="en-US" w:eastAsia="zh-CN"/>
        </w:rPr>
        <w:t>8</w:t>
      </w:r>
      <w:r>
        <w:rPr>
          <w:rFonts w:hint="eastAsia" w:ascii="微软雅黑" w:hAnsi="微软雅黑" w:eastAsia="微软雅黑"/>
          <w:szCs w:val="21"/>
        </w:rPr>
        <w:t>位</w:t>
      </w:r>
      <w:r>
        <w:rPr>
          <w:rFonts w:hint="eastAsia" w:ascii="微软雅黑" w:hAnsi="微软雅黑" w:eastAsia="微软雅黑"/>
          <w:szCs w:val="21"/>
          <w:lang w:eastAsia="zh-CN"/>
        </w:rPr>
        <w:t>（保留</w:t>
      </w:r>
      <w:r>
        <w:rPr>
          <w:rFonts w:hint="eastAsia" w:ascii="微软雅黑" w:hAnsi="微软雅黑" w:eastAsia="微软雅黑"/>
          <w:szCs w:val="21"/>
          <w:lang w:val="en-US" w:eastAsia="zh-CN"/>
        </w:rPr>
        <w:t>8位小数，8位小数点后四舍五入）</w:t>
      </w:r>
      <w:r>
        <w:rPr>
          <w:rFonts w:hint="eastAsia" w:ascii="微软雅黑" w:hAnsi="微软雅黑" w:eastAsia="微软雅黑"/>
          <w:szCs w:val="21"/>
        </w:rPr>
        <w:t>。</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认购份额</w:t>
      </w:r>
      <w:r>
        <w:rPr>
          <w:rFonts w:ascii="微软雅黑" w:hAnsi="微软雅黑" w:eastAsia="微软雅黑"/>
          <w:szCs w:val="21"/>
        </w:rPr>
        <w:t>=</w:t>
      </w:r>
      <w:r>
        <w:rPr>
          <w:rFonts w:hint="eastAsia" w:ascii="微软雅黑" w:hAnsi="微软雅黑" w:eastAsia="微软雅黑"/>
          <w:szCs w:val="21"/>
        </w:rPr>
        <w:t>认购金额</w:t>
      </w:r>
      <w:r>
        <w:rPr>
          <w:rFonts w:ascii="微软雅黑" w:hAnsi="微软雅黑" w:eastAsia="微软雅黑"/>
          <w:szCs w:val="21"/>
        </w:rPr>
        <w:t>/1</w:t>
      </w:r>
      <w:r>
        <w:rPr>
          <w:rFonts w:hint="eastAsia" w:ascii="微软雅黑" w:hAnsi="微软雅黑" w:eastAsia="微软雅黑"/>
          <w:szCs w:val="21"/>
        </w:rPr>
        <w:t>元，认购份额保留至小数点后2位</w:t>
      </w:r>
      <w:r>
        <w:rPr>
          <w:rFonts w:ascii="微软雅黑" w:hAnsi="微软雅黑" w:eastAsia="微软雅黑"/>
          <w:szCs w:val="21"/>
        </w:rPr>
        <w:t>（保留</w:t>
      </w:r>
      <w:r>
        <w:rPr>
          <w:rFonts w:hint="eastAsia" w:ascii="微软雅黑" w:hAnsi="微软雅黑" w:eastAsia="微软雅黑"/>
          <w:szCs w:val="21"/>
        </w:rPr>
        <w:t>2</w:t>
      </w:r>
      <w:r>
        <w:rPr>
          <w:rFonts w:ascii="微软雅黑" w:hAnsi="微软雅黑" w:eastAsia="微软雅黑"/>
          <w:szCs w:val="21"/>
        </w:rPr>
        <w:t>位小数，</w:t>
      </w:r>
      <w:r>
        <w:rPr>
          <w:rFonts w:hint="eastAsia" w:ascii="微软雅黑" w:hAnsi="微软雅黑" w:eastAsia="微软雅黑"/>
          <w:szCs w:val="21"/>
        </w:rPr>
        <w:t>2</w:t>
      </w:r>
      <w:r>
        <w:rPr>
          <w:rFonts w:ascii="微软雅黑" w:hAnsi="微软雅黑" w:eastAsia="微软雅黑"/>
          <w:szCs w:val="21"/>
        </w:rPr>
        <w:t>位小数点后</w:t>
      </w:r>
      <w:r>
        <w:rPr>
          <w:rFonts w:hint="eastAsia" w:ascii="微软雅黑" w:hAnsi="微软雅黑" w:eastAsia="微软雅黑"/>
          <w:szCs w:val="21"/>
        </w:rPr>
        <w:t>四舍五入</w:t>
      </w:r>
      <w:r>
        <w:rPr>
          <w:rFonts w:ascii="微软雅黑" w:hAnsi="微软雅黑" w:eastAsia="微软雅黑"/>
          <w:szCs w:val="21"/>
        </w:rPr>
        <w:t>）。</w:t>
      </w:r>
    </w:p>
    <w:p>
      <w:pPr>
        <w:adjustRightInd w:val="0"/>
        <w:snapToGrid w:val="0"/>
        <w:spacing w:line="320" w:lineRule="exact"/>
        <w:ind w:left="454"/>
        <w:rPr>
          <w:rFonts w:ascii="微软雅黑" w:hAnsi="微软雅黑" w:eastAsia="微软雅黑"/>
          <w:szCs w:val="21"/>
        </w:rPr>
      </w:pP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四、理财产品认购及成立</w:t>
      </w: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（一）产品认购</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1.产品</w:t>
      </w:r>
      <w:r>
        <w:rPr>
          <w:rFonts w:ascii="微软雅黑" w:hAnsi="微软雅黑" w:eastAsia="微软雅黑"/>
          <w:szCs w:val="21"/>
        </w:rPr>
        <w:t>登记日：本理财</w:t>
      </w:r>
      <w:r>
        <w:rPr>
          <w:rFonts w:hint="eastAsia" w:ascii="微软雅黑" w:hAnsi="微软雅黑" w:eastAsia="微软雅黑"/>
          <w:szCs w:val="21"/>
        </w:rPr>
        <w:t>产品</w:t>
      </w:r>
      <w:r>
        <w:rPr>
          <w:rFonts w:ascii="微软雅黑" w:hAnsi="微软雅黑" w:eastAsia="微软雅黑"/>
          <w:szCs w:val="21"/>
        </w:rPr>
        <w:t>于</w:t>
      </w:r>
      <w:r>
        <w:rPr>
          <w:rFonts w:hint="eastAsia" w:ascii="微软雅黑" w:hAnsi="微软雅黑" w:eastAsia="微软雅黑"/>
          <w:szCs w:val="21"/>
        </w:rPr>
        <w:t>2021年10月20日</w:t>
      </w:r>
      <w:r>
        <w:rPr>
          <w:rFonts w:ascii="微软雅黑" w:hAnsi="微软雅黑" w:eastAsia="微软雅黑"/>
          <w:szCs w:val="21"/>
        </w:rPr>
        <w:t>进行认购登记。</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2</w:t>
      </w:r>
      <w:r>
        <w:rPr>
          <w:rFonts w:ascii="微软雅黑" w:hAnsi="微软雅黑" w:eastAsia="微软雅黑"/>
          <w:szCs w:val="21"/>
        </w:rPr>
        <w:t>.认购方式及确认：</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（1）本理财</w:t>
      </w:r>
      <w:r>
        <w:rPr>
          <w:rFonts w:hint="eastAsia" w:ascii="微软雅黑" w:hAnsi="微软雅黑" w:eastAsia="微软雅黑"/>
          <w:szCs w:val="21"/>
        </w:rPr>
        <w:t>产品</w:t>
      </w:r>
      <w:r>
        <w:rPr>
          <w:rFonts w:ascii="微软雅黑" w:hAnsi="微软雅黑" w:eastAsia="微软雅黑"/>
          <w:szCs w:val="21"/>
        </w:rPr>
        <w:t>采取金额认购的方式；</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rPr>
        <w:t>产品</w:t>
      </w:r>
      <w:r>
        <w:rPr>
          <w:rFonts w:ascii="微软雅黑" w:hAnsi="微软雅黑" w:eastAsia="微软雅黑"/>
          <w:szCs w:val="21"/>
        </w:rPr>
        <w:t>登记日为</w:t>
      </w:r>
      <w:r>
        <w:rPr>
          <w:rFonts w:hint="eastAsia" w:ascii="微软雅黑" w:hAnsi="微软雅黑" w:eastAsia="微软雅黑"/>
          <w:szCs w:val="21"/>
        </w:rPr>
        <w:t>客户</w:t>
      </w:r>
      <w:r>
        <w:rPr>
          <w:rFonts w:ascii="微软雅黑" w:hAnsi="微软雅黑" w:eastAsia="微软雅黑"/>
          <w:szCs w:val="21"/>
        </w:rPr>
        <w:t>登记认购份额，</w:t>
      </w:r>
      <w:r>
        <w:rPr>
          <w:rFonts w:hint="eastAsia" w:ascii="微软雅黑" w:hAnsi="微软雅黑" w:eastAsia="微软雅黑"/>
          <w:szCs w:val="21"/>
        </w:rPr>
        <w:t>客户</w:t>
      </w:r>
      <w:r>
        <w:rPr>
          <w:rFonts w:ascii="微软雅黑" w:hAnsi="微软雅黑" w:eastAsia="微软雅黑"/>
          <w:szCs w:val="21"/>
        </w:rPr>
        <w:t>应在</w:t>
      </w:r>
      <w:r>
        <w:rPr>
          <w:rFonts w:hint="eastAsia" w:ascii="微软雅黑" w:hAnsi="微软雅黑" w:eastAsia="微软雅黑"/>
          <w:szCs w:val="21"/>
        </w:rPr>
        <w:t>产品</w:t>
      </w:r>
      <w:r>
        <w:rPr>
          <w:rFonts w:ascii="微软雅黑" w:hAnsi="微软雅黑" w:eastAsia="微软雅黑"/>
          <w:szCs w:val="21"/>
        </w:rPr>
        <w:t>成立后及时查询最终成交确认情况和认购的份额；</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（3）认购撤单：</w:t>
      </w:r>
      <w:r>
        <w:rPr>
          <w:rFonts w:hint="eastAsia" w:ascii="微软雅黑" w:hAnsi="微软雅黑" w:eastAsia="微软雅黑"/>
          <w:szCs w:val="21"/>
        </w:rPr>
        <w:t>认购</w:t>
      </w:r>
      <w:r>
        <w:rPr>
          <w:rFonts w:ascii="微软雅黑" w:hAnsi="微软雅黑" w:eastAsia="微软雅黑"/>
          <w:szCs w:val="21"/>
        </w:rPr>
        <w:t>期内允许全部或者部分撤销已递交的认购申请，部分撤销只适用于</w:t>
      </w:r>
      <w:r>
        <w:rPr>
          <w:rFonts w:hint="eastAsia" w:ascii="微软雅黑" w:hAnsi="微软雅黑" w:eastAsia="微软雅黑"/>
          <w:szCs w:val="21"/>
        </w:rPr>
        <w:t>客户</w:t>
      </w:r>
      <w:r>
        <w:rPr>
          <w:rFonts w:ascii="微软雅黑" w:hAnsi="微软雅黑" w:eastAsia="微软雅黑"/>
          <w:szCs w:val="21"/>
        </w:rPr>
        <w:t>多次认购的情况，</w:t>
      </w:r>
      <w:r>
        <w:rPr>
          <w:rFonts w:hint="eastAsia" w:ascii="微软雅黑" w:hAnsi="微软雅黑" w:eastAsia="微软雅黑"/>
          <w:szCs w:val="21"/>
        </w:rPr>
        <w:t>客户</w:t>
      </w:r>
      <w:r>
        <w:rPr>
          <w:rFonts w:ascii="微软雅黑" w:hAnsi="微软雅黑" w:eastAsia="微软雅黑"/>
          <w:szCs w:val="21"/>
        </w:rPr>
        <w:t>必须对应每笔认购的份额逐笔撤销</w:t>
      </w:r>
      <w:r>
        <w:rPr>
          <w:rFonts w:hint="eastAsia" w:ascii="微软雅黑" w:hAnsi="微软雅黑" w:eastAsia="微软雅黑"/>
          <w:szCs w:val="21"/>
        </w:rPr>
        <w:t>，</w:t>
      </w:r>
      <w:r>
        <w:rPr>
          <w:rFonts w:ascii="微软雅黑" w:hAnsi="微软雅黑" w:eastAsia="微软雅黑"/>
          <w:szCs w:val="21"/>
        </w:rPr>
        <w:t>部分撤销后剩余的各笔认购份额总和不得低于</w:t>
      </w:r>
      <w:r>
        <w:rPr>
          <w:rFonts w:hint="eastAsia" w:ascii="微软雅黑" w:hAnsi="微软雅黑" w:eastAsia="微软雅黑"/>
          <w:szCs w:val="21"/>
        </w:rPr>
        <w:t>1</w:t>
      </w:r>
      <w:r>
        <w:rPr>
          <w:rFonts w:ascii="微软雅黑" w:hAnsi="微软雅黑" w:eastAsia="微软雅黑"/>
          <w:szCs w:val="21"/>
        </w:rPr>
        <w:t>万份；</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（4）客户</w:t>
      </w:r>
      <w:r>
        <w:rPr>
          <w:rFonts w:ascii="微软雅黑" w:hAnsi="微软雅黑" w:eastAsia="微软雅黑"/>
          <w:szCs w:val="21"/>
        </w:rPr>
        <w:t>在</w:t>
      </w:r>
      <w:r>
        <w:rPr>
          <w:rFonts w:hint="eastAsia" w:ascii="微软雅黑" w:hAnsi="微软雅黑" w:eastAsia="微软雅黑"/>
          <w:szCs w:val="21"/>
        </w:rPr>
        <w:t>认购</w:t>
      </w:r>
      <w:r>
        <w:rPr>
          <w:rFonts w:ascii="微软雅黑" w:hAnsi="微软雅黑" w:eastAsia="微软雅黑"/>
          <w:szCs w:val="21"/>
        </w:rPr>
        <w:t>期内</w:t>
      </w:r>
      <w:r>
        <w:rPr>
          <w:rFonts w:hint="eastAsia" w:ascii="微软雅黑" w:hAnsi="微软雅黑" w:eastAsia="微软雅黑"/>
          <w:szCs w:val="21"/>
        </w:rPr>
        <w:t>认购成功后资金将被冻结，但仍按</w:t>
      </w:r>
      <w:r>
        <w:rPr>
          <w:rFonts w:ascii="微软雅黑" w:hAnsi="微软雅黑" w:eastAsia="微软雅黑"/>
          <w:szCs w:val="21"/>
        </w:rPr>
        <w:t>照珠海华润银行公布的活期存款利率为认购</w:t>
      </w:r>
      <w:r>
        <w:rPr>
          <w:rFonts w:hint="eastAsia" w:ascii="微软雅黑" w:hAnsi="微软雅黑" w:eastAsia="微软雅黑"/>
          <w:szCs w:val="21"/>
        </w:rPr>
        <w:t>资金</w:t>
      </w:r>
      <w:r>
        <w:rPr>
          <w:rFonts w:ascii="微软雅黑" w:hAnsi="微软雅黑" w:eastAsia="微软雅黑"/>
          <w:szCs w:val="21"/>
        </w:rPr>
        <w:t>计息</w:t>
      </w:r>
      <w:r>
        <w:rPr>
          <w:rFonts w:hint="eastAsia" w:ascii="微软雅黑" w:hAnsi="微软雅黑" w:eastAsia="微软雅黑"/>
          <w:szCs w:val="21"/>
        </w:rPr>
        <w:t>，认购期内利息不计入认购本金。</w:t>
      </w:r>
      <w:r>
        <w:rPr>
          <w:rFonts w:ascii="微软雅黑" w:hAnsi="微软雅黑" w:eastAsia="微软雅黑"/>
          <w:szCs w:val="21"/>
        </w:rPr>
        <w:t>如</w:t>
      </w:r>
      <w:r>
        <w:rPr>
          <w:rFonts w:hint="eastAsia" w:ascii="微软雅黑" w:hAnsi="微软雅黑" w:eastAsia="微软雅黑"/>
          <w:szCs w:val="21"/>
        </w:rPr>
        <w:t>认</w:t>
      </w:r>
      <w:r>
        <w:rPr>
          <w:rFonts w:ascii="微软雅黑" w:hAnsi="微软雅黑" w:eastAsia="微软雅黑"/>
          <w:szCs w:val="21"/>
        </w:rPr>
        <w:t>购</w:t>
      </w:r>
      <w:r>
        <w:rPr>
          <w:rFonts w:hint="eastAsia" w:ascii="微软雅黑" w:hAnsi="微软雅黑" w:eastAsia="微软雅黑"/>
          <w:szCs w:val="21"/>
        </w:rPr>
        <w:t>不</w:t>
      </w:r>
      <w:r>
        <w:rPr>
          <w:rFonts w:ascii="微软雅黑" w:hAnsi="微软雅黑" w:eastAsia="微软雅黑"/>
          <w:szCs w:val="21"/>
        </w:rPr>
        <w:t>成功，被冻结的理财资金在产品原定</w:t>
      </w:r>
      <w:r>
        <w:rPr>
          <w:rFonts w:hint="eastAsia" w:ascii="微软雅黑" w:hAnsi="微软雅黑" w:eastAsia="微软雅黑"/>
          <w:szCs w:val="21"/>
        </w:rPr>
        <w:t>认购期结束</w:t>
      </w:r>
      <w:r>
        <w:rPr>
          <w:rFonts w:ascii="微软雅黑" w:hAnsi="微软雅黑" w:eastAsia="微软雅黑"/>
          <w:szCs w:val="21"/>
        </w:rPr>
        <w:t>后的</w:t>
      </w:r>
      <w:r>
        <w:rPr>
          <w:rFonts w:hint="eastAsia" w:ascii="微软雅黑" w:hAnsi="微软雅黑" w:eastAsia="微软雅黑"/>
          <w:szCs w:val="21"/>
          <w:lang w:val="en-US" w:eastAsia="zh-CN"/>
        </w:rPr>
        <w:t>3</w:t>
      </w:r>
      <w:r>
        <w:rPr>
          <w:rFonts w:ascii="微软雅黑" w:hAnsi="微软雅黑" w:eastAsia="微软雅黑"/>
          <w:szCs w:val="21"/>
        </w:rPr>
        <w:t>个工作日内解冻；如</w:t>
      </w:r>
      <w:r>
        <w:rPr>
          <w:rFonts w:hint="eastAsia" w:ascii="微软雅黑" w:hAnsi="微软雅黑" w:eastAsia="微软雅黑"/>
          <w:szCs w:val="21"/>
        </w:rPr>
        <w:t>认</w:t>
      </w:r>
      <w:r>
        <w:rPr>
          <w:rFonts w:ascii="微软雅黑" w:hAnsi="微软雅黑" w:eastAsia="微软雅黑"/>
          <w:szCs w:val="21"/>
        </w:rPr>
        <w:t>购</w:t>
      </w:r>
      <w:r>
        <w:rPr>
          <w:rFonts w:hint="eastAsia" w:ascii="微软雅黑" w:hAnsi="微软雅黑" w:eastAsia="微软雅黑"/>
          <w:szCs w:val="21"/>
        </w:rPr>
        <w:t>成功</w:t>
      </w:r>
      <w:r>
        <w:rPr>
          <w:rFonts w:ascii="微软雅黑" w:hAnsi="微软雅黑" w:eastAsia="微软雅黑"/>
          <w:szCs w:val="21"/>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（二）产品成立</w:t>
      </w:r>
    </w:p>
    <w:p>
      <w:pPr>
        <w:spacing w:line="320" w:lineRule="exact"/>
        <w:rPr>
          <w:rFonts w:ascii="微软雅黑" w:hAnsi="微软雅黑" w:eastAsia="微软雅黑"/>
          <w:szCs w:val="21"/>
        </w:rPr>
      </w:pPr>
      <w:r>
        <w:rPr>
          <w:rFonts w:hint="eastAsia" w:ascii="微软雅黑" w:hAnsi="微软雅黑" w:eastAsia="微软雅黑"/>
          <w:szCs w:val="21"/>
        </w:rPr>
        <w:t xml:space="preserve">    在认购期内，未发生影响产品正常成立的任何异常事件，产品正常成立。</w:t>
      </w:r>
    </w:p>
    <w:p>
      <w:pPr>
        <w:spacing w:line="320" w:lineRule="exact"/>
        <w:ind w:firstLine="420"/>
        <w:rPr>
          <w:rFonts w:ascii="微软雅黑" w:hAnsi="微软雅黑" w:eastAsia="微软雅黑"/>
          <w:szCs w:val="21"/>
        </w:rPr>
      </w:pPr>
      <w:r>
        <w:rPr>
          <w:rFonts w:hint="eastAsia" w:ascii="微软雅黑" w:hAnsi="微软雅黑" w:eastAsia="微软雅黑"/>
          <w:szCs w:val="21"/>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rPr>
      </w:pPr>
      <w:r>
        <w:rPr>
          <w:rFonts w:hint="eastAsia" w:ascii="微软雅黑" w:hAnsi="微软雅黑" w:eastAsia="微软雅黑"/>
          <w:szCs w:val="21"/>
        </w:rPr>
        <w:t>如果市场发生不利情况，珠海华润银行有权宣布本产品不成立。客户被冻结的认购资金在</w:t>
      </w:r>
      <w:r>
        <w:rPr>
          <w:rFonts w:hint="eastAsia" w:ascii="微软雅黑" w:hAnsi="微软雅黑" w:eastAsia="微软雅黑"/>
        </w:rPr>
        <w:t>产品原定成立日</w:t>
      </w:r>
      <w:r>
        <w:rPr>
          <w:rFonts w:hint="eastAsia" w:ascii="微软雅黑" w:hAnsi="微软雅黑" w:eastAsia="微软雅黑"/>
          <w:szCs w:val="21"/>
        </w:rPr>
        <w:t>后的</w:t>
      </w:r>
      <w:r>
        <w:rPr>
          <w:rFonts w:hint="eastAsia" w:ascii="微软雅黑" w:hAnsi="微软雅黑" w:eastAsia="微软雅黑"/>
          <w:szCs w:val="21"/>
          <w:lang w:val="en-US" w:eastAsia="zh-CN"/>
        </w:rPr>
        <w:t>3</w:t>
      </w:r>
      <w:r>
        <w:rPr>
          <w:rFonts w:hint="eastAsia" w:ascii="微软雅黑" w:hAnsi="微软雅黑" w:eastAsia="微软雅黑"/>
          <w:szCs w:val="21"/>
        </w:rPr>
        <w:t>个工作日内解冻。</w:t>
      </w:r>
    </w:p>
    <w:p>
      <w:pPr>
        <w:adjustRightInd w:val="0"/>
        <w:snapToGrid w:val="0"/>
        <w:spacing w:line="320" w:lineRule="exact"/>
        <w:ind w:left="454"/>
        <w:rPr>
          <w:rFonts w:ascii="微软雅黑" w:hAnsi="微软雅黑" w:eastAsia="微软雅黑" w:cs="Arial"/>
          <w:b/>
          <w:szCs w:val="21"/>
        </w:rPr>
      </w:pP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五、理财产品</w:t>
      </w:r>
      <w:r>
        <w:rPr>
          <w:rFonts w:ascii="微软雅黑" w:hAnsi="微软雅黑" w:eastAsia="微软雅黑" w:cs="Arial"/>
          <w:b/>
          <w:szCs w:val="21"/>
        </w:rPr>
        <w:t>到期</w:t>
      </w:r>
      <w:r>
        <w:rPr>
          <w:rFonts w:hint="eastAsia" w:ascii="微软雅黑" w:hAnsi="微软雅黑" w:eastAsia="微软雅黑" w:cs="Arial"/>
          <w:b/>
          <w:szCs w:val="21"/>
        </w:rPr>
        <w:t>及提前终止</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（一）产品到期</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1.本理财</w:t>
      </w:r>
      <w:r>
        <w:rPr>
          <w:rFonts w:hint="eastAsia" w:ascii="微软雅黑" w:hAnsi="微软雅黑" w:eastAsia="微软雅黑"/>
          <w:szCs w:val="21"/>
        </w:rPr>
        <w:t>产品</w:t>
      </w:r>
      <w:r>
        <w:rPr>
          <w:rFonts w:ascii="微软雅黑" w:hAnsi="微软雅黑" w:eastAsia="微软雅黑"/>
          <w:szCs w:val="21"/>
        </w:rPr>
        <w:t>到期日为</w:t>
      </w:r>
      <w:r>
        <w:rPr>
          <w:rFonts w:hint="eastAsia" w:ascii="微软雅黑" w:hAnsi="微软雅黑" w:eastAsia="微软雅黑"/>
          <w:szCs w:val="21"/>
        </w:rPr>
        <w:t>2023年11月21日（以实际到期日为准）</w:t>
      </w:r>
      <w:r>
        <w:rPr>
          <w:rFonts w:ascii="微软雅黑" w:hAnsi="微软雅黑" w:eastAsia="微软雅黑"/>
          <w:szCs w:val="21"/>
        </w:rPr>
        <w:t>，逢节假日顺延。</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2.</w:t>
      </w:r>
      <w:r>
        <w:rPr>
          <w:rFonts w:hint="eastAsia" w:ascii="微软雅黑" w:hAnsi="微软雅黑" w:eastAsia="微软雅黑"/>
          <w:szCs w:val="21"/>
        </w:rPr>
        <w:t>客户</w:t>
      </w:r>
      <w:r>
        <w:rPr>
          <w:rFonts w:ascii="微软雅黑" w:hAnsi="微软雅黑" w:eastAsia="微软雅黑"/>
          <w:szCs w:val="21"/>
        </w:rPr>
        <w:t>持有本理财</w:t>
      </w:r>
      <w:r>
        <w:rPr>
          <w:rFonts w:hint="eastAsia" w:ascii="微软雅黑" w:hAnsi="微软雅黑" w:eastAsia="微软雅黑"/>
          <w:szCs w:val="21"/>
        </w:rPr>
        <w:t>产品</w:t>
      </w:r>
      <w:r>
        <w:rPr>
          <w:rFonts w:ascii="微软雅黑" w:hAnsi="微软雅黑" w:eastAsia="微软雅黑"/>
          <w:szCs w:val="21"/>
        </w:rPr>
        <w:t>到期时，珠海华润银行不承诺保证本金，</w:t>
      </w:r>
      <w:r>
        <w:rPr>
          <w:rFonts w:hint="eastAsia" w:ascii="微软雅黑" w:hAnsi="微软雅黑" w:eastAsia="微软雅黑"/>
          <w:szCs w:val="21"/>
        </w:rPr>
        <w:t>客户</w:t>
      </w:r>
      <w:r>
        <w:rPr>
          <w:rFonts w:ascii="微软雅黑" w:hAnsi="微软雅黑" w:eastAsia="微软雅黑"/>
          <w:szCs w:val="21"/>
        </w:rPr>
        <w:t>在到期日的应得资金随投资盈亏水平浮动。</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3.理财</w:t>
      </w:r>
      <w:r>
        <w:rPr>
          <w:rFonts w:hint="eastAsia" w:ascii="微软雅黑" w:hAnsi="微软雅黑" w:eastAsia="微软雅黑"/>
          <w:szCs w:val="21"/>
        </w:rPr>
        <w:t>产品</w:t>
      </w:r>
      <w:r>
        <w:rPr>
          <w:rFonts w:ascii="微软雅黑" w:hAnsi="微软雅黑" w:eastAsia="微软雅黑"/>
          <w:szCs w:val="21"/>
        </w:rPr>
        <w:t>到期时，如理财</w:t>
      </w:r>
      <w:r>
        <w:rPr>
          <w:rFonts w:hint="eastAsia" w:ascii="微软雅黑" w:hAnsi="微软雅黑" w:eastAsia="微软雅黑"/>
          <w:szCs w:val="21"/>
        </w:rPr>
        <w:t>产品</w:t>
      </w:r>
      <w:r>
        <w:rPr>
          <w:rFonts w:ascii="微软雅黑" w:hAnsi="微软雅黑" w:eastAsia="微软雅黑"/>
          <w:szCs w:val="21"/>
        </w:rPr>
        <w:t>项下财产全部变现，珠海华润银行在</w:t>
      </w:r>
      <w:r>
        <w:rPr>
          <w:rFonts w:hint="eastAsia" w:ascii="微软雅黑" w:hAnsi="微软雅黑" w:eastAsia="微软雅黑"/>
          <w:szCs w:val="21"/>
        </w:rPr>
        <w:t>产品</w:t>
      </w:r>
      <w:r>
        <w:rPr>
          <w:rFonts w:ascii="微软雅黑" w:hAnsi="微软雅黑" w:eastAsia="微软雅黑"/>
          <w:szCs w:val="21"/>
        </w:rPr>
        <w:t>到期日后</w:t>
      </w:r>
      <w:r>
        <w:rPr>
          <w:rFonts w:hint="eastAsia" w:ascii="微软雅黑" w:hAnsi="微软雅黑" w:eastAsia="微软雅黑"/>
          <w:szCs w:val="21"/>
        </w:rPr>
        <w:t>3</w:t>
      </w:r>
      <w:r>
        <w:rPr>
          <w:rFonts w:ascii="微软雅黑" w:hAnsi="微软雅黑" w:eastAsia="微软雅黑"/>
          <w:szCs w:val="21"/>
        </w:rPr>
        <w:t>个工作日内将</w:t>
      </w:r>
      <w:r>
        <w:rPr>
          <w:rFonts w:hint="eastAsia" w:ascii="微软雅黑" w:hAnsi="微软雅黑" w:eastAsia="微软雅黑"/>
          <w:szCs w:val="21"/>
        </w:rPr>
        <w:t>客户</w:t>
      </w:r>
      <w:r>
        <w:rPr>
          <w:rFonts w:ascii="微软雅黑" w:hAnsi="微软雅黑" w:eastAsia="微软雅黑"/>
          <w:szCs w:val="21"/>
        </w:rPr>
        <w:t>应得资金划转至</w:t>
      </w:r>
      <w:r>
        <w:rPr>
          <w:rFonts w:hint="eastAsia" w:ascii="微软雅黑" w:hAnsi="微软雅黑" w:eastAsia="微软雅黑"/>
          <w:szCs w:val="21"/>
        </w:rPr>
        <w:t>客户</w:t>
      </w:r>
      <w:r>
        <w:rPr>
          <w:rFonts w:ascii="微软雅黑" w:hAnsi="微软雅黑" w:eastAsia="微软雅黑"/>
          <w:szCs w:val="21"/>
        </w:rPr>
        <w:t>指定账户。理财</w:t>
      </w:r>
      <w:r>
        <w:rPr>
          <w:rFonts w:hint="eastAsia" w:ascii="微软雅黑" w:hAnsi="微软雅黑" w:eastAsia="微软雅黑"/>
          <w:szCs w:val="21"/>
        </w:rPr>
        <w:t>产品</w:t>
      </w:r>
      <w:r>
        <w:rPr>
          <w:rFonts w:ascii="微软雅黑" w:hAnsi="微软雅黑" w:eastAsia="微软雅黑"/>
          <w:szCs w:val="21"/>
        </w:rPr>
        <w:t>到期</w:t>
      </w:r>
      <w:r>
        <w:rPr>
          <w:rFonts w:hint="eastAsia" w:ascii="微软雅黑" w:hAnsi="微软雅黑" w:eastAsia="微软雅黑"/>
          <w:szCs w:val="21"/>
        </w:rPr>
        <w:t>时</w:t>
      </w:r>
      <w:r>
        <w:rPr>
          <w:rFonts w:ascii="微软雅黑" w:hAnsi="微软雅黑" w:eastAsia="微软雅黑"/>
          <w:szCs w:val="21"/>
        </w:rPr>
        <w:t>，如</w:t>
      </w:r>
      <w:r>
        <w:rPr>
          <w:rFonts w:hint="eastAsia" w:ascii="微软雅黑" w:hAnsi="微软雅黑" w:eastAsia="微软雅黑"/>
          <w:szCs w:val="21"/>
        </w:rPr>
        <w:t>产品</w:t>
      </w:r>
      <w:r>
        <w:rPr>
          <w:rFonts w:ascii="微软雅黑" w:hAnsi="微软雅黑" w:eastAsia="微软雅黑"/>
          <w:szCs w:val="21"/>
        </w:rPr>
        <w:t>项下部分或全部资产因客观原因暂停交易或暂时无法变现，</w:t>
      </w:r>
      <w:r>
        <w:rPr>
          <w:rFonts w:hint="eastAsia" w:ascii="微软雅黑" w:hAnsi="微软雅黑" w:eastAsia="微软雅黑"/>
          <w:szCs w:val="21"/>
        </w:rPr>
        <w:t>珠海华润银行</w:t>
      </w:r>
      <w:r>
        <w:rPr>
          <w:rFonts w:ascii="微软雅黑" w:hAnsi="微软雅黑" w:eastAsia="微软雅黑"/>
          <w:szCs w:val="21"/>
        </w:rPr>
        <w:t>可将可供分配的现金资产按照理财</w:t>
      </w:r>
      <w:r>
        <w:rPr>
          <w:rFonts w:hint="eastAsia" w:ascii="微软雅黑" w:hAnsi="微软雅黑" w:eastAsia="微软雅黑"/>
          <w:szCs w:val="21"/>
        </w:rPr>
        <w:t>产品</w:t>
      </w:r>
      <w:r>
        <w:rPr>
          <w:rFonts w:ascii="微软雅黑" w:hAnsi="微软雅黑" w:eastAsia="微软雅黑"/>
          <w:szCs w:val="21"/>
        </w:rPr>
        <w:t>投资的认购金额比例进行分配，将暂时无法变现的其他投资组合资产恢复交易或通过其他途径变现后，管理人再就该部分资产进行分配。本理财</w:t>
      </w:r>
      <w:r>
        <w:rPr>
          <w:rFonts w:hint="eastAsia" w:ascii="微软雅黑" w:hAnsi="微软雅黑" w:eastAsia="微软雅黑"/>
          <w:szCs w:val="21"/>
        </w:rPr>
        <w:t>产品</w:t>
      </w:r>
      <w:r>
        <w:rPr>
          <w:rFonts w:ascii="微软雅黑" w:hAnsi="微软雅黑" w:eastAsia="微软雅黑"/>
          <w:szCs w:val="21"/>
        </w:rPr>
        <w:t>的到期日</w:t>
      </w:r>
      <w:r>
        <w:rPr>
          <w:rFonts w:hint="eastAsia" w:ascii="微软雅黑" w:hAnsi="微软雅黑" w:eastAsia="微软雅黑"/>
          <w:szCs w:val="21"/>
        </w:rPr>
        <w:t>及投资者持有的产品期限</w:t>
      </w:r>
      <w:r>
        <w:rPr>
          <w:rFonts w:ascii="微软雅黑" w:hAnsi="微软雅黑" w:eastAsia="微软雅黑"/>
          <w:szCs w:val="21"/>
        </w:rPr>
        <w:t>将相应延长</w:t>
      </w:r>
      <w:r>
        <w:rPr>
          <w:rFonts w:hint="eastAsia" w:ascii="微软雅黑" w:hAnsi="微软雅黑" w:eastAsia="微软雅黑"/>
          <w:szCs w:val="21"/>
        </w:rPr>
        <w:t>，具体请以珠海华润银行公告为准。</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（二）提前终止</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14"/>
        <w:numPr>
          <w:ilvl w:val="-1"/>
          <w:numId w:val="0"/>
        </w:numPr>
        <w:spacing w:line="320" w:lineRule="exact"/>
        <w:ind w:left="420" w:firstLine="0" w:firstLineChars="0"/>
        <w:rPr>
          <w:rFonts w:hint="eastAsia" w:ascii="微软雅黑" w:hAnsi="微软雅黑" w:eastAsia="微软雅黑"/>
          <w:szCs w:val="21"/>
        </w:rPr>
      </w:pPr>
      <w:r>
        <w:rPr>
          <w:rFonts w:hint="eastAsia" w:ascii="微软雅黑" w:hAnsi="微软雅黑" w:eastAsia="微软雅黑"/>
          <w:szCs w:val="21"/>
          <w:lang w:val="en-US" w:eastAsia="zh-CN"/>
        </w:rPr>
        <w:t>1.</w:t>
      </w:r>
      <w:r>
        <w:rPr>
          <w:rFonts w:hint="eastAsia" w:ascii="微软雅黑" w:hAnsi="微软雅黑" w:eastAsia="微软雅黑"/>
          <w:szCs w:val="21"/>
        </w:rPr>
        <w:t>因不可抗力因素导致本理财产品无法继续运作；</w:t>
      </w:r>
    </w:p>
    <w:p>
      <w:pPr>
        <w:spacing w:line="320" w:lineRule="exact"/>
        <w:ind w:firstLine="420" w:firstLineChars="200"/>
        <w:jc w:val="left"/>
        <w:rPr>
          <w:rFonts w:ascii="微软雅黑" w:hAnsi="微软雅黑" w:eastAsia="微软雅黑"/>
          <w:szCs w:val="21"/>
        </w:rPr>
      </w:pPr>
      <w:r>
        <w:rPr>
          <w:rFonts w:ascii="微软雅黑" w:hAnsi="微软雅黑" w:eastAsia="微软雅黑"/>
          <w:szCs w:val="21"/>
        </w:rPr>
        <w:t>2</w:t>
      </w:r>
      <w:r>
        <w:rPr>
          <w:rFonts w:hint="eastAsia" w:ascii="微软雅黑" w:hAnsi="微软雅黑" w:eastAsia="微软雅黑"/>
          <w:szCs w:val="21"/>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rPr>
      </w:pPr>
      <w:r>
        <w:rPr>
          <w:rFonts w:ascii="微软雅黑" w:hAnsi="微软雅黑" w:eastAsia="微软雅黑"/>
          <w:szCs w:val="21"/>
        </w:rPr>
        <w:t>3.</w:t>
      </w:r>
      <w:r>
        <w:rPr>
          <w:rFonts w:hint="eastAsia" w:ascii="微软雅黑" w:hAnsi="微软雅黑" w:eastAsia="微软雅黑"/>
          <w:szCs w:val="21"/>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rPr>
      </w:pPr>
      <w:r>
        <w:rPr>
          <w:rFonts w:ascii="微软雅黑" w:hAnsi="微软雅黑" w:eastAsia="微软雅黑"/>
          <w:szCs w:val="21"/>
        </w:rPr>
        <w:t>4.</w:t>
      </w:r>
      <w:r>
        <w:rPr>
          <w:rFonts w:hint="eastAsia" w:ascii="微软雅黑" w:hAnsi="微软雅黑" w:eastAsia="微软雅黑"/>
          <w:szCs w:val="21"/>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rPr>
      </w:pPr>
      <w:r>
        <w:rPr>
          <w:rFonts w:hint="eastAsia" w:ascii="微软雅黑" w:hAnsi="微软雅黑" w:eastAsia="微软雅黑"/>
          <w:szCs w:val="21"/>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ascii="微软雅黑" w:hAnsi="微软雅黑" w:eastAsia="微软雅黑"/>
          <w:b/>
          <w:szCs w:val="21"/>
        </w:rPr>
      </w:pPr>
      <w:r>
        <w:rPr>
          <w:rFonts w:hint="eastAsia" w:ascii="微软雅黑" w:hAnsi="微软雅黑" w:eastAsia="微软雅黑"/>
          <w:szCs w:val="21"/>
        </w:rPr>
        <w:t>6</w:t>
      </w:r>
      <w:r>
        <w:rPr>
          <w:rFonts w:ascii="微软雅黑" w:hAnsi="微软雅黑" w:eastAsia="微软雅黑"/>
          <w:szCs w:val="21"/>
        </w:rPr>
        <w:t>.</w:t>
      </w:r>
      <w:r>
        <w:rPr>
          <w:rFonts w:hint="eastAsia" w:ascii="微软雅黑" w:hAnsi="微软雅黑" w:eastAsia="微软雅黑"/>
          <w:szCs w:val="21"/>
        </w:rPr>
        <w:t>法律法规规定或监管部门认定的其他情形。</w:t>
      </w:r>
    </w:p>
    <w:p>
      <w:pPr>
        <w:adjustRightInd w:val="0"/>
        <w:snapToGrid w:val="0"/>
        <w:spacing w:line="320" w:lineRule="exact"/>
        <w:rPr>
          <w:rFonts w:ascii="微软雅黑" w:hAnsi="微软雅黑" w:eastAsia="微软雅黑" w:cs="Arial"/>
          <w:b/>
          <w:szCs w:val="21"/>
        </w:rPr>
      </w:pP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六、理财产品收益测算</w:t>
      </w:r>
    </w:p>
    <w:p>
      <w:pPr>
        <w:adjustRightInd w:val="0"/>
        <w:snapToGrid w:val="0"/>
        <w:spacing w:line="320" w:lineRule="exact"/>
        <w:ind w:firstLine="420" w:firstLineChars="200"/>
        <w:rPr>
          <w:rFonts w:ascii="微软雅黑" w:hAnsi="微软雅黑" w:eastAsia="微软雅黑"/>
          <w:szCs w:val="21"/>
        </w:rPr>
      </w:pPr>
      <w:r>
        <w:rPr>
          <w:rFonts w:hint="eastAsia" w:ascii="微软雅黑" w:hAnsi="微软雅黑" w:eastAsia="微软雅黑"/>
          <w:szCs w:val="21"/>
        </w:rPr>
        <w:t>假设本理财产品期限</w:t>
      </w:r>
      <w:r>
        <w:rPr>
          <w:rFonts w:ascii="微软雅黑" w:hAnsi="微软雅黑" w:eastAsia="微软雅黑"/>
          <w:szCs w:val="21"/>
        </w:rPr>
        <w:t>36</w:t>
      </w:r>
      <w:r>
        <w:rPr>
          <w:rFonts w:hint="eastAsia" w:ascii="微软雅黑" w:hAnsi="微软雅黑" w:eastAsia="微软雅黑"/>
          <w:szCs w:val="21"/>
        </w:rPr>
        <w:t>0天，业绩比较基准</w:t>
      </w:r>
      <w:r>
        <w:rPr>
          <w:rFonts w:ascii="微软雅黑" w:hAnsi="微软雅黑" w:eastAsia="微软雅黑"/>
          <w:szCs w:val="21"/>
        </w:rPr>
        <w:t>5.0%</w:t>
      </w:r>
      <w:r>
        <w:rPr>
          <w:rFonts w:hint="eastAsia" w:ascii="微软雅黑" w:hAnsi="微软雅黑" w:eastAsia="微软雅黑"/>
          <w:szCs w:val="21"/>
          <w:lang w:eastAsia="zh-CN"/>
        </w:rPr>
        <w:t>，固定投资管理费</w:t>
      </w:r>
      <w:r>
        <w:rPr>
          <w:rFonts w:hint="eastAsia" w:ascii="微软雅黑" w:hAnsi="微软雅黑" w:eastAsia="微软雅黑"/>
          <w:szCs w:val="21"/>
          <w:lang w:val="en-US" w:eastAsia="zh-CN"/>
        </w:rPr>
        <w:t>0.10%/年</w:t>
      </w:r>
      <w:r>
        <w:rPr>
          <w:rFonts w:hint="eastAsia" w:ascii="微软雅黑" w:hAnsi="微软雅黑" w:eastAsia="微软雅黑"/>
          <w:szCs w:val="21"/>
        </w:rPr>
        <w:t>。产品到期后，客户可获得总收益可能存在如下三种情景：</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情景一：扣除产品各项费用（包括不限于托管费、运营服务费、销售手续费和固定投资管理费），投资收益超过业绩比较基准。</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假设客户投资5万元，购买时产品净值为</w:t>
      </w:r>
      <w:r>
        <w:rPr>
          <w:rFonts w:ascii="微软雅黑" w:hAnsi="微软雅黑" w:eastAsia="微软雅黑"/>
          <w:szCs w:val="21"/>
        </w:rPr>
        <w:t>1.00</w:t>
      </w:r>
      <w:r>
        <w:rPr>
          <w:rFonts w:hint="eastAsia" w:ascii="微软雅黑" w:hAnsi="微软雅黑" w:eastAsia="微软雅黑"/>
          <w:szCs w:val="21"/>
        </w:rPr>
        <w:t>00</w:t>
      </w:r>
      <w:r>
        <w:rPr>
          <w:rFonts w:hint="eastAsia" w:ascii="微软雅黑" w:hAnsi="微软雅黑" w:eastAsia="微软雅黑"/>
          <w:szCs w:val="21"/>
          <w:lang w:val="en-US" w:eastAsia="zh-CN"/>
        </w:rPr>
        <w:t>0000</w:t>
      </w:r>
      <w:r>
        <w:rPr>
          <w:rFonts w:hint="eastAsia" w:ascii="微软雅黑" w:hAnsi="微软雅黑" w:eastAsia="微软雅黑"/>
          <w:szCs w:val="21"/>
        </w:rPr>
        <w:t>元，折算份额为5</w:t>
      </w:r>
      <w:r>
        <w:rPr>
          <w:rFonts w:ascii="微软雅黑" w:hAnsi="微软雅黑" w:eastAsia="微软雅黑"/>
          <w:szCs w:val="21"/>
        </w:rPr>
        <w:t>0,000.00</w:t>
      </w:r>
      <w:r>
        <w:rPr>
          <w:rFonts w:hint="eastAsia" w:ascii="微软雅黑" w:hAnsi="微软雅黑" w:eastAsia="微软雅黑"/>
          <w:szCs w:val="21"/>
        </w:rPr>
        <w:t>份。产品到期时，若客户持有的份额依然为5</w:t>
      </w:r>
      <w:r>
        <w:rPr>
          <w:rFonts w:ascii="微软雅黑" w:hAnsi="微软雅黑" w:eastAsia="微软雅黑"/>
          <w:szCs w:val="21"/>
        </w:rPr>
        <w:t>0,000.00</w:t>
      </w:r>
      <w:r>
        <w:rPr>
          <w:rFonts w:hint="eastAsia" w:ascii="微软雅黑" w:hAnsi="微软雅黑" w:eastAsia="微软雅黑"/>
          <w:szCs w:val="21"/>
        </w:rPr>
        <w:t>份（即存续期中未发生提前终止或其他情形），扣除产品各项费用（包括不限于托管费、运营服务费、销售手续费和固定投资管理费）后，如产品净值为</w:t>
      </w:r>
      <w:r>
        <w:rPr>
          <w:rFonts w:ascii="微软雅黑" w:hAnsi="微软雅黑" w:eastAsia="微软雅黑"/>
          <w:szCs w:val="21"/>
        </w:rPr>
        <w:t>1.</w:t>
      </w:r>
      <w:r>
        <w:rPr>
          <w:rFonts w:hint="eastAsia" w:ascii="微软雅黑" w:hAnsi="微软雅黑" w:eastAsia="微软雅黑"/>
          <w:szCs w:val="21"/>
        </w:rPr>
        <w:t>0542</w:t>
      </w:r>
      <w:r>
        <w:rPr>
          <w:rFonts w:hint="eastAsia" w:ascii="微软雅黑" w:hAnsi="微软雅黑" w:eastAsia="微软雅黑"/>
          <w:szCs w:val="21"/>
          <w:lang w:val="en-US" w:eastAsia="zh-CN"/>
        </w:rPr>
        <w:t>0000</w:t>
      </w:r>
      <w:r>
        <w:rPr>
          <w:rFonts w:hint="eastAsia" w:ascii="微软雅黑" w:hAnsi="微软雅黑" w:eastAsia="微软雅黑"/>
          <w:szCs w:val="21"/>
        </w:rPr>
        <w:t>，</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此时，(1.0542</w:t>
      </w:r>
      <w:r>
        <w:rPr>
          <w:rFonts w:hint="eastAsia" w:ascii="微软雅黑" w:hAnsi="微软雅黑" w:eastAsia="微软雅黑"/>
          <w:szCs w:val="21"/>
          <w:lang w:val="en-US" w:eastAsia="zh-CN"/>
        </w:rPr>
        <w:t>0000</w:t>
      </w:r>
      <w:r>
        <w:rPr>
          <w:rFonts w:hint="eastAsia" w:ascii="微软雅黑" w:hAnsi="微软雅黑" w:eastAsia="微软雅黑"/>
          <w:szCs w:val="21"/>
        </w:rPr>
        <w:t>/1.0000</w:t>
      </w:r>
      <w:r>
        <w:rPr>
          <w:rFonts w:hint="eastAsia" w:ascii="微软雅黑" w:hAnsi="微软雅黑" w:eastAsia="微软雅黑"/>
          <w:szCs w:val="21"/>
          <w:lang w:val="en-US" w:eastAsia="zh-CN"/>
        </w:rPr>
        <w:t>0000</w:t>
      </w:r>
      <w:r>
        <w:rPr>
          <w:rFonts w:hint="eastAsia" w:ascii="微软雅黑" w:hAnsi="微软雅黑" w:eastAsia="微软雅黑"/>
          <w:szCs w:val="21"/>
        </w:rPr>
        <w:t>-1)×365/360=5.5%&gt;5.0%，即投资收益超过业绩比较基准。假设超过的部分作为管理人的浮动投资管理费，则浮动投资管理费为：</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50,000.00×[1.0542</w:t>
      </w:r>
      <w:r>
        <w:rPr>
          <w:rFonts w:hint="eastAsia" w:ascii="微软雅黑" w:hAnsi="微软雅黑" w:eastAsia="微软雅黑"/>
          <w:szCs w:val="21"/>
          <w:lang w:val="en-US" w:eastAsia="zh-CN"/>
        </w:rPr>
        <w:t>0000</w:t>
      </w:r>
      <w:r>
        <w:rPr>
          <w:rFonts w:hint="eastAsia" w:ascii="微软雅黑" w:hAnsi="微软雅黑" w:eastAsia="微软雅黑"/>
          <w:szCs w:val="21"/>
        </w:rPr>
        <w:t>-1.0000</w:t>
      </w:r>
      <w:r>
        <w:rPr>
          <w:rFonts w:hint="eastAsia" w:ascii="微软雅黑" w:hAnsi="微软雅黑" w:eastAsia="微软雅黑"/>
          <w:szCs w:val="21"/>
          <w:lang w:val="en-US" w:eastAsia="zh-CN"/>
        </w:rPr>
        <w:t>0000</w:t>
      </w:r>
      <w:r>
        <w:rPr>
          <w:rFonts w:hint="eastAsia" w:ascii="微软雅黑" w:hAnsi="微软雅黑" w:eastAsia="微软雅黑"/>
          <w:szCs w:val="21"/>
        </w:rPr>
        <w:t>×(1+5.00%×360/365)]= 244.2</w:t>
      </w:r>
      <w:r>
        <w:rPr>
          <w:rFonts w:hint="eastAsia" w:ascii="微软雅黑" w:hAnsi="微软雅黑" w:eastAsia="微软雅黑"/>
          <w:szCs w:val="21"/>
          <w:lang w:val="en-US" w:eastAsia="zh-CN"/>
        </w:rPr>
        <w:t>4</w:t>
      </w:r>
      <w:r>
        <w:rPr>
          <w:rFonts w:hint="eastAsia" w:ascii="微软雅黑" w:hAnsi="微软雅黑" w:eastAsia="微软雅黑"/>
          <w:szCs w:val="21"/>
        </w:rPr>
        <w:t>（元）</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扣除浮动投资管理费后，客户最终收益为：</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50,000.00×（1.0542</w:t>
      </w:r>
      <w:r>
        <w:rPr>
          <w:rFonts w:hint="eastAsia" w:ascii="微软雅黑" w:hAnsi="微软雅黑" w:eastAsia="微软雅黑"/>
          <w:szCs w:val="21"/>
          <w:lang w:val="en-US" w:eastAsia="zh-CN"/>
        </w:rPr>
        <w:t>0000</w:t>
      </w:r>
      <w:r>
        <w:rPr>
          <w:rFonts w:hint="eastAsia" w:ascii="微软雅黑" w:hAnsi="微软雅黑" w:eastAsia="微软雅黑"/>
          <w:szCs w:val="21"/>
        </w:rPr>
        <w:t>-1.0000</w:t>
      </w:r>
      <w:r>
        <w:rPr>
          <w:rFonts w:hint="eastAsia" w:ascii="微软雅黑" w:hAnsi="微软雅黑" w:eastAsia="微软雅黑"/>
          <w:szCs w:val="21"/>
          <w:lang w:val="en-US" w:eastAsia="zh-CN"/>
        </w:rPr>
        <w:t>0000</w:t>
      </w:r>
      <w:r>
        <w:rPr>
          <w:rFonts w:hint="eastAsia" w:ascii="微软雅黑" w:hAnsi="微软雅黑" w:eastAsia="微软雅黑"/>
          <w:szCs w:val="21"/>
        </w:rPr>
        <w:t>）-244.2</w:t>
      </w:r>
      <w:r>
        <w:rPr>
          <w:rFonts w:hint="eastAsia" w:ascii="微软雅黑" w:hAnsi="微软雅黑" w:eastAsia="微软雅黑"/>
          <w:szCs w:val="21"/>
          <w:lang w:val="en-US" w:eastAsia="zh-CN"/>
        </w:rPr>
        <w:t>4</w:t>
      </w:r>
      <w:r>
        <w:rPr>
          <w:rFonts w:hint="eastAsia" w:ascii="微软雅黑" w:hAnsi="微软雅黑" w:eastAsia="微软雅黑"/>
          <w:szCs w:val="21"/>
        </w:rPr>
        <w:t>=2,465.7</w:t>
      </w:r>
      <w:r>
        <w:rPr>
          <w:rFonts w:hint="eastAsia" w:ascii="微软雅黑" w:hAnsi="微软雅黑" w:eastAsia="微软雅黑"/>
          <w:szCs w:val="21"/>
          <w:lang w:val="en-US" w:eastAsia="zh-CN"/>
        </w:rPr>
        <w:t>6</w:t>
      </w:r>
      <w:r>
        <w:rPr>
          <w:rFonts w:hint="eastAsia" w:ascii="微软雅黑" w:hAnsi="微软雅黑" w:eastAsia="微软雅黑"/>
          <w:szCs w:val="21"/>
        </w:rPr>
        <w:t>（元）。</w:t>
      </w:r>
    </w:p>
    <w:p>
      <w:pPr>
        <w:spacing w:line="320" w:lineRule="exact"/>
        <w:ind w:firstLine="420" w:firstLineChars="200"/>
        <w:rPr>
          <w:rFonts w:ascii="微软雅黑" w:hAnsi="微软雅黑" w:eastAsia="微软雅黑"/>
          <w:szCs w:val="21"/>
        </w:rPr>
      </w:pP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情景二：扣除产品各项费用（包括不限于托管费、运营服务费、销售手续费和固定投资管理费）后，投资收益未达到业绩比较基准</w:t>
      </w:r>
      <w:r>
        <w:rPr>
          <w:rFonts w:hint="eastAsia" w:ascii="微软雅黑" w:hAnsi="微软雅黑" w:eastAsia="微软雅黑"/>
          <w:szCs w:val="21"/>
          <w:lang w:eastAsia="zh-CN"/>
        </w:rPr>
        <w:t>，</w:t>
      </w:r>
      <w:r>
        <w:rPr>
          <w:rFonts w:hint="eastAsia" w:ascii="微软雅黑" w:hAnsi="微软雅黑" w:eastAsia="微软雅黑"/>
          <w:szCs w:val="21"/>
        </w:rPr>
        <w:t>但珠海华润银行收取的固定投资管理费能够覆盖差额部分。</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假设客户投资5万元，购买时产品净值为</w:t>
      </w:r>
      <w:r>
        <w:rPr>
          <w:rFonts w:ascii="微软雅黑" w:hAnsi="微软雅黑" w:eastAsia="微软雅黑"/>
          <w:szCs w:val="21"/>
        </w:rPr>
        <w:t>1.00</w:t>
      </w:r>
      <w:r>
        <w:rPr>
          <w:rFonts w:hint="eastAsia" w:ascii="微软雅黑" w:hAnsi="微软雅黑" w:eastAsia="微软雅黑"/>
          <w:szCs w:val="21"/>
        </w:rPr>
        <w:t>00</w:t>
      </w:r>
      <w:r>
        <w:rPr>
          <w:rFonts w:hint="eastAsia" w:ascii="微软雅黑" w:hAnsi="微软雅黑" w:eastAsia="微软雅黑"/>
          <w:szCs w:val="21"/>
          <w:lang w:val="en-US" w:eastAsia="zh-CN"/>
        </w:rPr>
        <w:t>0000</w:t>
      </w:r>
      <w:r>
        <w:rPr>
          <w:rFonts w:hint="eastAsia" w:ascii="微软雅黑" w:hAnsi="微软雅黑" w:eastAsia="微软雅黑"/>
          <w:szCs w:val="21"/>
        </w:rPr>
        <w:t>元，折算份额为5</w:t>
      </w:r>
      <w:r>
        <w:rPr>
          <w:rFonts w:ascii="微软雅黑" w:hAnsi="微软雅黑" w:eastAsia="微软雅黑"/>
          <w:szCs w:val="21"/>
        </w:rPr>
        <w:t>0,000.00</w:t>
      </w:r>
      <w:r>
        <w:rPr>
          <w:rFonts w:hint="eastAsia" w:ascii="微软雅黑" w:hAnsi="微软雅黑" w:eastAsia="微软雅黑"/>
          <w:szCs w:val="21"/>
        </w:rPr>
        <w:t>份。产品到期时，若客户持有的份额依然为5</w:t>
      </w:r>
      <w:r>
        <w:rPr>
          <w:rFonts w:ascii="微软雅黑" w:hAnsi="微软雅黑" w:eastAsia="微软雅黑"/>
          <w:szCs w:val="21"/>
        </w:rPr>
        <w:t>0,000.00</w:t>
      </w:r>
      <w:r>
        <w:rPr>
          <w:rFonts w:hint="eastAsia" w:ascii="微软雅黑" w:hAnsi="微软雅黑" w:eastAsia="微软雅黑"/>
          <w:szCs w:val="21"/>
        </w:rPr>
        <w:t>份（即存续期中未发生提前终止或其他情形），扣除产品各项费用（包括不限于托管费、运营服务费、销售手续费和固定投资管理费）后，如产品净值为</w:t>
      </w:r>
      <w:r>
        <w:rPr>
          <w:rFonts w:ascii="微软雅黑" w:hAnsi="微软雅黑" w:eastAsia="微软雅黑"/>
          <w:szCs w:val="21"/>
        </w:rPr>
        <w:t>1.</w:t>
      </w:r>
      <w:r>
        <w:rPr>
          <w:rFonts w:hint="eastAsia" w:ascii="微软雅黑" w:hAnsi="微软雅黑" w:eastAsia="微软雅黑"/>
          <w:szCs w:val="21"/>
        </w:rPr>
        <w:t>0485</w:t>
      </w:r>
      <w:r>
        <w:rPr>
          <w:rFonts w:hint="eastAsia" w:ascii="微软雅黑" w:hAnsi="微软雅黑" w:eastAsia="微软雅黑"/>
          <w:szCs w:val="21"/>
          <w:lang w:val="en-US" w:eastAsia="zh-CN"/>
        </w:rPr>
        <w:t>0000</w:t>
      </w:r>
      <w:r>
        <w:rPr>
          <w:rFonts w:hint="eastAsia" w:ascii="微软雅黑" w:hAnsi="微软雅黑" w:eastAsia="微软雅黑"/>
          <w:szCs w:val="21"/>
        </w:rPr>
        <w:t>，</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此时，</w:t>
      </w:r>
      <w:r>
        <w:rPr>
          <w:rFonts w:ascii="微软雅黑" w:hAnsi="微软雅黑" w:eastAsia="微软雅黑"/>
          <w:szCs w:val="21"/>
        </w:rPr>
        <w:t>(1.</w:t>
      </w:r>
      <w:r>
        <w:rPr>
          <w:rFonts w:hint="eastAsia" w:ascii="微软雅黑" w:hAnsi="微软雅黑" w:eastAsia="微软雅黑"/>
          <w:szCs w:val="21"/>
        </w:rPr>
        <w:t>0485</w:t>
      </w:r>
      <w:r>
        <w:rPr>
          <w:rFonts w:hint="eastAsia" w:ascii="微软雅黑" w:hAnsi="微软雅黑" w:eastAsia="微软雅黑"/>
          <w:szCs w:val="21"/>
          <w:lang w:val="en-US" w:eastAsia="zh-CN"/>
        </w:rPr>
        <w:t>0000</w:t>
      </w:r>
      <w:r>
        <w:rPr>
          <w:rFonts w:ascii="微软雅黑" w:hAnsi="微软雅黑" w:eastAsia="微软雅黑"/>
          <w:szCs w:val="21"/>
        </w:rPr>
        <w:t>/1.00</w:t>
      </w:r>
      <w:r>
        <w:rPr>
          <w:rFonts w:hint="eastAsia" w:ascii="微软雅黑" w:hAnsi="微软雅黑" w:eastAsia="微软雅黑"/>
          <w:szCs w:val="21"/>
        </w:rPr>
        <w:t>00</w:t>
      </w:r>
      <w:r>
        <w:rPr>
          <w:rFonts w:hint="eastAsia" w:ascii="微软雅黑" w:hAnsi="微软雅黑" w:eastAsia="微软雅黑"/>
          <w:szCs w:val="21"/>
          <w:lang w:val="en-US" w:eastAsia="zh-CN"/>
        </w:rPr>
        <w:t>0000</w:t>
      </w:r>
      <w:r>
        <w:rPr>
          <w:rFonts w:ascii="微软雅黑" w:hAnsi="微软雅黑" w:eastAsia="微软雅黑"/>
          <w:szCs w:val="21"/>
        </w:rPr>
        <w:t>-1)</w:t>
      </w:r>
      <w:r>
        <w:rPr>
          <w:rFonts w:hint="eastAsia" w:ascii="微软雅黑" w:hAnsi="微软雅黑" w:eastAsia="微软雅黑"/>
          <w:szCs w:val="21"/>
        </w:rPr>
        <w:t>×</w:t>
      </w:r>
      <w:r>
        <w:rPr>
          <w:rFonts w:ascii="微软雅黑" w:hAnsi="微软雅黑" w:eastAsia="微软雅黑"/>
          <w:szCs w:val="21"/>
        </w:rPr>
        <w:t>365/</w:t>
      </w:r>
      <w:r>
        <w:rPr>
          <w:rFonts w:hint="eastAsia" w:ascii="微软雅黑" w:hAnsi="微软雅黑" w:eastAsia="微软雅黑"/>
          <w:szCs w:val="21"/>
        </w:rPr>
        <w:t>360</w:t>
      </w:r>
      <w:r>
        <w:rPr>
          <w:rFonts w:ascii="微软雅黑" w:hAnsi="微软雅黑" w:eastAsia="微软雅黑"/>
          <w:szCs w:val="21"/>
        </w:rPr>
        <w:t>=4.</w:t>
      </w:r>
      <w:r>
        <w:rPr>
          <w:rFonts w:hint="eastAsia" w:ascii="微软雅黑" w:hAnsi="微软雅黑" w:eastAsia="微软雅黑"/>
          <w:szCs w:val="21"/>
        </w:rPr>
        <w:t>92</w:t>
      </w:r>
      <w:r>
        <w:rPr>
          <w:rFonts w:ascii="微软雅黑" w:hAnsi="微软雅黑" w:eastAsia="微软雅黑"/>
          <w:szCs w:val="21"/>
        </w:rPr>
        <w:t>%&lt;5.</w:t>
      </w:r>
      <w:r>
        <w:rPr>
          <w:rFonts w:hint="eastAsia" w:ascii="微软雅黑" w:hAnsi="微软雅黑" w:eastAsia="微软雅黑"/>
          <w:szCs w:val="21"/>
        </w:rPr>
        <w:t>0</w:t>
      </w:r>
      <w:r>
        <w:rPr>
          <w:rFonts w:ascii="微软雅黑" w:hAnsi="微软雅黑" w:eastAsia="微软雅黑"/>
          <w:szCs w:val="21"/>
        </w:rPr>
        <w:t>0%</w:t>
      </w:r>
      <w:r>
        <w:rPr>
          <w:rFonts w:hint="eastAsia" w:ascii="微软雅黑" w:hAnsi="微软雅黑" w:eastAsia="微软雅黑"/>
          <w:szCs w:val="21"/>
        </w:rPr>
        <w:t>，即投资收益未达到业绩比较基准，此时，珠海华润银行不收取浮动投资管理费，同时将收取的固定投资管理费向客户回拨0.</w:t>
      </w:r>
      <w:r>
        <w:rPr>
          <w:rFonts w:hint="eastAsia" w:ascii="微软雅黑" w:hAnsi="微软雅黑" w:eastAsia="微软雅黑"/>
          <w:szCs w:val="21"/>
          <w:lang w:val="en-US" w:eastAsia="zh-CN"/>
        </w:rPr>
        <w:t>08</w:t>
      </w:r>
      <w:r>
        <w:rPr>
          <w:rFonts w:hint="eastAsia" w:ascii="微软雅黑" w:hAnsi="微软雅黑" w:eastAsia="微软雅黑"/>
          <w:szCs w:val="21"/>
        </w:rPr>
        <w:t>%，使得客户收益达到业绩比较基准。</w:t>
      </w:r>
    </w:p>
    <w:p>
      <w:pPr>
        <w:spacing w:line="320" w:lineRule="exact"/>
        <w:ind w:firstLine="420" w:firstLineChars="200"/>
        <w:rPr>
          <w:rFonts w:ascii="微软雅黑" w:hAnsi="微软雅黑" w:eastAsia="微软雅黑"/>
          <w:szCs w:val="21"/>
        </w:rPr>
      </w:pP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情景三：扣除产品各项费用（包括不限于托管费、运营服务费、销售手续费和固定投资管理费）后，投资收益未达到业绩比较基准</w:t>
      </w:r>
      <w:r>
        <w:rPr>
          <w:rFonts w:hint="eastAsia" w:ascii="微软雅黑" w:hAnsi="微软雅黑" w:eastAsia="微软雅黑"/>
          <w:szCs w:val="21"/>
          <w:lang w:eastAsia="zh-CN"/>
        </w:rPr>
        <w:t>，</w:t>
      </w:r>
      <w:r>
        <w:rPr>
          <w:rFonts w:hint="eastAsia" w:ascii="微软雅黑" w:hAnsi="微软雅黑" w:eastAsia="微软雅黑"/>
          <w:szCs w:val="21"/>
        </w:rPr>
        <w:t>且以管理人收取的固定投资管理费为限进行回补不能够覆盖差额部分。</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假设客户投资5万元，购买时产品净值为</w:t>
      </w:r>
      <w:r>
        <w:rPr>
          <w:rFonts w:ascii="微软雅黑" w:hAnsi="微软雅黑" w:eastAsia="微软雅黑"/>
          <w:szCs w:val="21"/>
        </w:rPr>
        <w:t>1.00</w:t>
      </w:r>
      <w:r>
        <w:rPr>
          <w:rFonts w:hint="eastAsia" w:ascii="微软雅黑" w:hAnsi="微软雅黑" w:eastAsia="微软雅黑"/>
          <w:szCs w:val="21"/>
        </w:rPr>
        <w:t>00</w:t>
      </w:r>
      <w:r>
        <w:rPr>
          <w:rFonts w:hint="eastAsia" w:ascii="微软雅黑" w:hAnsi="微软雅黑" w:eastAsia="微软雅黑"/>
          <w:szCs w:val="21"/>
          <w:lang w:val="en-US" w:eastAsia="zh-CN"/>
        </w:rPr>
        <w:t>0000</w:t>
      </w:r>
      <w:r>
        <w:rPr>
          <w:rFonts w:hint="eastAsia" w:ascii="微软雅黑" w:hAnsi="微软雅黑" w:eastAsia="微软雅黑"/>
          <w:szCs w:val="21"/>
        </w:rPr>
        <w:t>元，折算份额为5</w:t>
      </w:r>
      <w:r>
        <w:rPr>
          <w:rFonts w:ascii="微软雅黑" w:hAnsi="微软雅黑" w:eastAsia="微软雅黑"/>
          <w:szCs w:val="21"/>
        </w:rPr>
        <w:t>0,000.00</w:t>
      </w:r>
      <w:r>
        <w:rPr>
          <w:rFonts w:hint="eastAsia" w:ascii="微软雅黑" w:hAnsi="微软雅黑" w:eastAsia="微软雅黑"/>
          <w:szCs w:val="21"/>
        </w:rPr>
        <w:t>份。产品到期时，若客户持有的份额依然为50</w:t>
      </w:r>
      <w:r>
        <w:rPr>
          <w:rFonts w:ascii="微软雅黑" w:hAnsi="微软雅黑" w:eastAsia="微软雅黑"/>
          <w:szCs w:val="21"/>
        </w:rPr>
        <w:t>,000.00</w:t>
      </w:r>
      <w:r>
        <w:rPr>
          <w:rFonts w:hint="eastAsia" w:ascii="微软雅黑" w:hAnsi="微软雅黑" w:eastAsia="微软雅黑"/>
          <w:szCs w:val="21"/>
        </w:rPr>
        <w:t>份（即存续期中未发生提前终止或其他情形），扣除产品各项费用（包括不限于托管费、运营服务费、销售手续费和固定投资管理费）后，如产品净值为</w:t>
      </w:r>
      <w:r>
        <w:rPr>
          <w:rFonts w:hint="eastAsia" w:ascii="微软雅黑" w:hAnsi="微软雅黑" w:eastAsia="微软雅黑"/>
          <w:szCs w:val="21"/>
          <w:lang w:val="en-US" w:eastAsia="zh-CN"/>
        </w:rPr>
        <w:t>1.03120000</w:t>
      </w:r>
      <w:r>
        <w:rPr>
          <w:rFonts w:hint="eastAsia" w:ascii="微软雅黑" w:hAnsi="微软雅黑" w:eastAsia="微软雅黑"/>
          <w:szCs w:val="21"/>
        </w:rPr>
        <w:t>，则管理人不收取浮动投资管理费，客户最终收益为：</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lang w:eastAsia="zh-CN"/>
        </w:rPr>
        <w:t>此时，（</w:t>
      </w:r>
      <w:r>
        <w:rPr>
          <w:rFonts w:hint="eastAsia" w:ascii="微软雅黑" w:hAnsi="微软雅黑" w:eastAsia="微软雅黑"/>
          <w:szCs w:val="21"/>
          <w:lang w:val="en-US" w:eastAsia="zh-CN"/>
        </w:rPr>
        <w:t>1.03120000/1.000000000-1)</w:t>
      </w:r>
      <w:r>
        <w:rPr>
          <w:rFonts w:hint="eastAsia" w:ascii="微软雅黑" w:hAnsi="微软雅黑" w:eastAsia="微软雅黑"/>
          <w:szCs w:val="21"/>
        </w:rPr>
        <w:t>×</w:t>
      </w:r>
      <w:r>
        <w:rPr>
          <w:rFonts w:ascii="微软雅黑" w:hAnsi="微软雅黑" w:eastAsia="微软雅黑"/>
          <w:szCs w:val="21"/>
        </w:rPr>
        <w:t>365/</w:t>
      </w:r>
      <w:r>
        <w:rPr>
          <w:rFonts w:hint="eastAsia" w:ascii="微软雅黑" w:hAnsi="微软雅黑" w:eastAsia="微软雅黑"/>
          <w:szCs w:val="21"/>
        </w:rPr>
        <w:t>360</w:t>
      </w:r>
      <w:r>
        <w:rPr>
          <w:rFonts w:hint="eastAsia" w:ascii="微软雅黑" w:hAnsi="微软雅黑" w:eastAsia="微软雅黑"/>
          <w:szCs w:val="21"/>
          <w:lang w:val="en-US" w:eastAsia="zh-CN"/>
        </w:rPr>
        <w:t>=3.16%&lt;5%，</w:t>
      </w:r>
      <w:r>
        <w:rPr>
          <w:rFonts w:hint="eastAsia" w:ascii="微软雅黑" w:hAnsi="微软雅黑" w:eastAsia="微软雅黑"/>
          <w:szCs w:val="21"/>
        </w:rPr>
        <w:t>即投资收益未达到业绩比较基准，此时，珠海华润银行不收取浮动投资管理费，同时将收取的固定投资管理费向客户回拨0.</w:t>
      </w:r>
      <w:r>
        <w:rPr>
          <w:rFonts w:hint="eastAsia" w:ascii="微软雅黑" w:hAnsi="微软雅黑" w:eastAsia="微软雅黑"/>
          <w:szCs w:val="21"/>
          <w:lang w:val="en-US" w:eastAsia="zh-CN"/>
        </w:rPr>
        <w:t>10</w:t>
      </w:r>
      <w:r>
        <w:rPr>
          <w:rFonts w:hint="eastAsia" w:ascii="微软雅黑" w:hAnsi="微软雅黑" w:eastAsia="微软雅黑"/>
          <w:szCs w:val="21"/>
        </w:rPr>
        <w:t>%。</w:t>
      </w:r>
    </w:p>
    <w:p>
      <w:pPr>
        <w:spacing w:line="320" w:lineRule="exact"/>
        <w:rPr>
          <w:rFonts w:ascii="微软雅黑" w:hAnsi="微软雅黑" w:eastAsia="微软雅黑"/>
          <w:szCs w:val="21"/>
        </w:rPr>
      </w:pPr>
      <w:r>
        <w:rPr>
          <w:rFonts w:hint="eastAsia" w:ascii="微软雅黑" w:hAnsi="微软雅黑" w:eastAsia="微软雅黑"/>
          <w:szCs w:val="21"/>
        </w:rPr>
        <w:t>（以上情景均采用假设数据计算，仅为举例之用，不作为最终收益的计算依据。测算收益不等于实际收益，亦不构成珠海华润银行对本理财产品的任何收益承诺，投资须谨慎。）</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七、理财产品估值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（一）估值日</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本理财产品</w:t>
      </w:r>
      <w:r>
        <w:rPr>
          <w:rFonts w:ascii="微软雅黑" w:hAnsi="微软雅黑" w:eastAsia="微软雅黑"/>
          <w:szCs w:val="21"/>
        </w:rPr>
        <w:t>T</w:t>
      </w:r>
      <w:r>
        <w:rPr>
          <w:rFonts w:hint="eastAsia" w:ascii="微软雅黑" w:hAnsi="微软雅黑" w:eastAsia="微软雅黑"/>
          <w:szCs w:val="21"/>
        </w:rPr>
        <w:t>日对</w:t>
      </w:r>
      <w:r>
        <w:rPr>
          <w:rFonts w:ascii="微软雅黑" w:hAnsi="微软雅黑" w:eastAsia="微软雅黑"/>
          <w:szCs w:val="21"/>
        </w:rPr>
        <w:t>T-1</w:t>
      </w:r>
      <w:r>
        <w:rPr>
          <w:rFonts w:hint="eastAsia" w:ascii="微软雅黑" w:hAnsi="微软雅黑" w:eastAsia="微软雅黑"/>
          <w:szCs w:val="21"/>
        </w:rPr>
        <w:t>日持有资产进行估值，</w:t>
      </w:r>
      <w:r>
        <w:rPr>
          <w:rFonts w:ascii="微软雅黑" w:hAnsi="微软雅黑" w:eastAsia="微软雅黑"/>
          <w:szCs w:val="21"/>
        </w:rPr>
        <w:t>T</w:t>
      </w:r>
      <w:r>
        <w:rPr>
          <w:rFonts w:hint="eastAsia" w:ascii="微软雅黑" w:hAnsi="微软雅黑" w:eastAsia="微软雅黑"/>
          <w:szCs w:val="21"/>
        </w:rPr>
        <w:t>日、</w:t>
      </w:r>
      <w:r>
        <w:rPr>
          <w:rFonts w:ascii="微软雅黑" w:hAnsi="微软雅黑" w:eastAsia="微软雅黑"/>
          <w:szCs w:val="21"/>
        </w:rPr>
        <w:t>T-1</w:t>
      </w:r>
      <w:r>
        <w:rPr>
          <w:rFonts w:hint="eastAsia" w:ascii="微软雅黑" w:hAnsi="微软雅黑" w:eastAsia="微软雅黑"/>
          <w:szCs w:val="21"/>
        </w:rPr>
        <w:t>日均为工作日，非工作日不进行估值。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（二）估值对象</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本理财产品所拥有的各类资产及负债。</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（三）估值方法</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本理财产品所投资各类资产原则上按照公允价值估值，具体估值方法如下：</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1.货币市场工具类的估值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1</w:t>
      </w:r>
      <w:r>
        <w:rPr>
          <w:rFonts w:hint="eastAsia" w:ascii="微软雅黑" w:hAnsi="微软雅黑" w:eastAsia="微软雅黑"/>
          <w:szCs w:val="21"/>
        </w:rPr>
        <w:t>）银行存款以本金列示，逐日计提利息；</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2</w:t>
      </w:r>
      <w:r>
        <w:rPr>
          <w:rFonts w:hint="eastAsia" w:ascii="微软雅黑" w:hAnsi="微软雅黑" w:eastAsia="微软雅黑"/>
          <w:szCs w:val="21"/>
        </w:rPr>
        <w:t>）货币基金以当日基金净值估值。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2.债券类的估值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1</w:t>
      </w:r>
      <w:r>
        <w:rPr>
          <w:rFonts w:hint="eastAsia" w:ascii="微软雅黑" w:hAnsi="微软雅黑" w:eastAsia="微软雅黑"/>
          <w:szCs w:val="21"/>
        </w:rPr>
        <w:t>）以持有到期为目的持有的债券按摊余成本法估值；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2</w:t>
      </w:r>
      <w:r>
        <w:rPr>
          <w:rFonts w:hint="eastAsia" w:ascii="微软雅黑" w:hAnsi="微软雅黑" w:eastAsia="微软雅黑"/>
          <w:szCs w:val="21"/>
        </w:rPr>
        <w:t>）以交易为目的持有的债券按市价法估值。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3.债权类项目的估值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1</w:t>
      </w:r>
      <w:r>
        <w:rPr>
          <w:rFonts w:hint="eastAsia" w:ascii="微软雅黑" w:hAnsi="微软雅黑" w:eastAsia="微软雅黑"/>
          <w:szCs w:val="21"/>
        </w:rPr>
        <w:t>）非标债权类项目以摊余成本法估值；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2</w:t>
      </w:r>
      <w:r>
        <w:rPr>
          <w:rFonts w:hint="eastAsia" w:ascii="微软雅黑" w:hAnsi="微软雅黑" w:eastAsia="微软雅黑"/>
          <w:szCs w:val="21"/>
        </w:rPr>
        <w:t>）标准化债权项目中，以持有到期为目的持有的债权按摊余成本法估值，以交易为目的持有的债权按市价法估值。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4.其他资产类估值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其他资产存在并可以确定公允价值的，以公允价值计算，公允价值不能确定的按取得时的成本按摊余成本法计算。</w:t>
      </w:r>
    </w:p>
    <w:p>
      <w:pPr>
        <w:numPr>
          <w:ilvl w:val="0"/>
          <w:numId w:val="1"/>
        </w:num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国家有最新规定的，按其规定进行估值。</w:t>
      </w:r>
    </w:p>
    <w:p>
      <w:pPr>
        <w:numPr>
          <w:ilvl w:val="255"/>
          <w:numId w:val="0"/>
        </w:numPr>
        <w:spacing w:line="320" w:lineRule="exact"/>
        <w:ind w:firstLine="210" w:firstLineChars="100"/>
        <w:rPr>
          <w:rFonts w:ascii="微软雅黑" w:hAnsi="微软雅黑" w:eastAsia="微软雅黑"/>
          <w:szCs w:val="21"/>
        </w:rPr>
      </w:pPr>
      <w:r>
        <w:rPr>
          <w:rFonts w:hint="eastAsia" w:ascii="微软雅黑" w:hAnsi="微软雅黑" w:eastAsia="微软雅黑"/>
          <w:szCs w:val="21"/>
        </w:rPr>
        <w:t>（四）本期理财产品由珠海华润银行聘请第三方机构进行估值服务，估值服务所产生的运营服务费由理财产品财产承担。</w:t>
      </w:r>
    </w:p>
    <w:p>
      <w:pPr>
        <w:spacing w:line="320" w:lineRule="exact"/>
        <w:rPr>
          <w:rFonts w:ascii="微软雅黑" w:hAnsi="微软雅黑" w:eastAsia="微软雅黑"/>
          <w:szCs w:val="21"/>
        </w:rPr>
      </w:pP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 xml:space="preserve">八、信息披露 </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2.</w:t>
      </w:r>
      <w:r>
        <w:rPr>
          <w:rFonts w:ascii="微软雅黑" w:hAnsi="微软雅黑" w:eastAsia="微软雅黑"/>
          <w:szCs w:val="21"/>
        </w:rPr>
        <w:t xml:space="preserve"> </w:t>
      </w:r>
      <w:r>
        <w:rPr>
          <w:rFonts w:hint="eastAsia" w:ascii="微软雅黑" w:hAnsi="微软雅黑" w:eastAsia="微软雅黑"/>
          <w:szCs w:val="21"/>
        </w:rPr>
        <w:t>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rPr>
        <w:t>2</w:t>
      </w:r>
      <w:r>
        <w:rPr>
          <w:rFonts w:hint="eastAsia" w:ascii="微软雅黑" w:hAnsi="微软雅黑" w:eastAsia="微软雅黑"/>
          <w:szCs w:val="21"/>
        </w:rPr>
        <w:t>个工作日发布公告。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6.客户需要咨询本理财产品相关信息的，可到珠海华润银行各营业网点咨询，也可致电珠海华润银行24小时客户服务热线96588（广东省外请加拨0756）或4008800338 咨询 。</w:t>
      </w:r>
      <w:bookmarkStart w:id="1" w:name="_Hlt97867810"/>
      <w:bookmarkEnd w:id="1"/>
    </w:p>
    <w:p>
      <w:pPr>
        <w:spacing w:line="320" w:lineRule="exact"/>
      </w:pPr>
    </w:p>
    <w:p>
      <w:pPr>
        <w:spacing w:line="320" w:lineRule="exact"/>
      </w:pPr>
    </w:p>
    <w:p>
      <w:pPr>
        <w:spacing w:line="320" w:lineRule="exact"/>
      </w:pPr>
    </w:p>
    <w:p>
      <w:pPr>
        <w:spacing w:line="320" w:lineRule="exact"/>
        <w:ind w:firstLine="420" w:firstLineChars="200"/>
        <w:rPr>
          <w:rFonts w:ascii="微软雅黑" w:hAnsi="微软雅黑" w:eastAsia="微软雅黑"/>
          <w:szCs w:val="21"/>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0"/>
      </w:pBdr>
      <w:jc w:val="left"/>
      <w:rPr>
        <w:rFonts w:ascii="微软雅黑" w:hAnsi="微软雅黑" w:eastAsia="微软雅黑"/>
        <w:b/>
      </w:rPr>
    </w:pPr>
    <w:r>
      <w:drawing>
        <wp:inline distT="0" distB="0" distL="0" distR="0">
          <wp:extent cx="1637665" cy="429260"/>
          <wp:effectExtent l="0" t="0" r="635" b="8890"/>
          <wp:docPr id="1" name="图片 1" descr="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最新LOGO"/>
                  <pic:cNvPicPr>
                    <a:picLocks noChangeAspect="1" noChangeArrowheads="1"/>
                  </pic:cNvPicPr>
                </pic:nvPicPr>
                <pic:blipFill>
                  <a:blip r:embed="rId1">
                    <a:extLst>
                      <a:ext uri="{28A0092B-C50C-407E-A947-70E740481C1C}">
                        <a14:useLocalDpi xmlns:a14="http://schemas.microsoft.com/office/drawing/2010/main" val="0"/>
                      </a:ext>
                    </a:extLst>
                  </a:blip>
                  <a:srcRect l="34792"/>
                  <a:stretch>
                    <a:fillRect/>
                  </a:stretch>
                </pic:blipFill>
                <pic:spPr>
                  <a:xfrm>
                    <a:off x="0" y="0"/>
                    <a:ext cx="163766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202101版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DE583"/>
    <w:multiLevelType w:val="singleLevel"/>
    <w:tmpl w:val="BF6DE583"/>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96E"/>
    <w:rsid w:val="00000158"/>
    <w:rsid w:val="00003050"/>
    <w:rsid w:val="0000765C"/>
    <w:rsid w:val="00011A25"/>
    <w:rsid w:val="00021886"/>
    <w:rsid w:val="000220CC"/>
    <w:rsid w:val="00023FA6"/>
    <w:rsid w:val="000300BD"/>
    <w:rsid w:val="00033AC1"/>
    <w:rsid w:val="000400EA"/>
    <w:rsid w:val="00044744"/>
    <w:rsid w:val="00050EA6"/>
    <w:rsid w:val="00055758"/>
    <w:rsid w:val="000575F3"/>
    <w:rsid w:val="00074DA3"/>
    <w:rsid w:val="00085952"/>
    <w:rsid w:val="00096CEA"/>
    <w:rsid w:val="000A069F"/>
    <w:rsid w:val="000A0726"/>
    <w:rsid w:val="000A469C"/>
    <w:rsid w:val="000A6737"/>
    <w:rsid w:val="000B597A"/>
    <w:rsid w:val="000C1121"/>
    <w:rsid w:val="000C7815"/>
    <w:rsid w:val="000C7D05"/>
    <w:rsid w:val="000D68B7"/>
    <w:rsid w:val="000F03E3"/>
    <w:rsid w:val="000F1559"/>
    <w:rsid w:val="00104FEC"/>
    <w:rsid w:val="00107EFD"/>
    <w:rsid w:val="00122328"/>
    <w:rsid w:val="00125F95"/>
    <w:rsid w:val="00133739"/>
    <w:rsid w:val="00144EFA"/>
    <w:rsid w:val="001462C0"/>
    <w:rsid w:val="00150144"/>
    <w:rsid w:val="0015373B"/>
    <w:rsid w:val="00155E1D"/>
    <w:rsid w:val="00162D6E"/>
    <w:rsid w:val="0016504C"/>
    <w:rsid w:val="001673EA"/>
    <w:rsid w:val="0017107E"/>
    <w:rsid w:val="001745A7"/>
    <w:rsid w:val="00177D2B"/>
    <w:rsid w:val="00177F3A"/>
    <w:rsid w:val="001805A8"/>
    <w:rsid w:val="00181415"/>
    <w:rsid w:val="00185BDD"/>
    <w:rsid w:val="00190448"/>
    <w:rsid w:val="00190AB8"/>
    <w:rsid w:val="001957D6"/>
    <w:rsid w:val="00195BBF"/>
    <w:rsid w:val="0019771D"/>
    <w:rsid w:val="001A182F"/>
    <w:rsid w:val="001A49D7"/>
    <w:rsid w:val="001A5FF2"/>
    <w:rsid w:val="001A6F69"/>
    <w:rsid w:val="001A6FA5"/>
    <w:rsid w:val="001B011B"/>
    <w:rsid w:val="001B0A52"/>
    <w:rsid w:val="001C750D"/>
    <w:rsid w:val="001D1172"/>
    <w:rsid w:val="001D2793"/>
    <w:rsid w:val="001E3103"/>
    <w:rsid w:val="001E47AD"/>
    <w:rsid w:val="001F517E"/>
    <w:rsid w:val="00201921"/>
    <w:rsid w:val="00201C24"/>
    <w:rsid w:val="0020535A"/>
    <w:rsid w:val="002054DB"/>
    <w:rsid w:val="002163FD"/>
    <w:rsid w:val="00230516"/>
    <w:rsid w:val="0023057E"/>
    <w:rsid w:val="00245C98"/>
    <w:rsid w:val="002462A5"/>
    <w:rsid w:val="002508F7"/>
    <w:rsid w:val="002511CC"/>
    <w:rsid w:val="00254116"/>
    <w:rsid w:val="002573AE"/>
    <w:rsid w:val="00257A5E"/>
    <w:rsid w:val="0026230D"/>
    <w:rsid w:val="00271494"/>
    <w:rsid w:val="00273E3E"/>
    <w:rsid w:val="00280CEB"/>
    <w:rsid w:val="00281409"/>
    <w:rsid w:val="002822B7"/>
    <w:rsid w:val="002835AF"/>
    <w:rsid w:val="00285482"/>
    <w:rsid w:val="00286279"/>
    <w:rsid w:val="00287CF7"/>
    <w:rsid w:val="0029028B"/>
    <w:rsid w:val="002A4217"/>
    <w:rsid w:val="002A647F"/>
    <w:rsid w:val="002B2677"/>
    <w:rsid w:val="002B270A"/>
    <w:rsid w:val="002B3750"/>
    <w:rsid w:val="002C4C29"/>
    <w:rsid w:val="002D3F62"/>
    <w:rsid w:val="002D7663"/>
    <w:rsid w:val="002E042F"/>
    <w:rsid w:val="002E0704"/>
    <w:rsid w:val="002F1332"/>
    <w:rsid w:val="002F4765"/>
    <w:rsid w:val="002F5E13"/>
    <w:rsid w:val="00301B19"/>
    <w:rsid w:val="003079D5"/>
    <w:rsid w:val="00315D49"/>
    <w:rsid w:val="00316B26"/>
    <w:rsid w:val="003175B1"/>
    <w:rsid w:val="003315BE"/>
    <w:rsid w:val="003341DC"/>
    <w:rsid w:val="003422B7"/>
    <w:rsid w:val="0034619E"/>
    <w:rsid w:val="00350273"/>
    <w:rsid w:val="00351E57"/>
    <w:rsid w:val="003607D5"/>
    <w:rsid w:val="0036082D"/>
    <w:rsid w:val="00362DA2"/>
    <w:rsid w:val="00367FD1"/>
    <w:rsid w:val="0037217E"/>
    <w:rsid w:val="00375464"/>
    <w:rsid w:val="00382A82"/>
    <w:rsid w:val="00383B3B"/>
    <w:rsid w:val="00383D57"/>
    <w:rsid w:val="003842ED"/>
    <w:rsid w:val="00390C09"/>
    <w:rsid w:val="00393F3D"/>
    <w:rsid w:val="003956EE"/>
    <w:rsid w:val="0039627F"/>
    <w:rsid w:val="003962BE"/>
    <w:rsid w:val="003A301C"/>
    <w:rsid w:val="003A5B9F"/>
    <w:rsid w:val="003A6CE3"/>
    <w:rsid w:val="003B0CED"/>
    <w:rsid w:val="003B29A7"/>
    <w:rsid w:val="003C3D93"/>
    <w:rsid w:val="003C44F5"/>
    <w:rsid w:val="003D0B1C"/>
    <w:rsid w:val="003D4CA5"/>
    <w:rsid w:val="003E296E"/>
    <w:rsid w:val="003E6D13"/>
    <w:rsid w:val="003E72C0"/>
    <w:rsid w:val="003F1672"/>
    <w:rsid w:val="003F26E7"/>
    <w:rsid w:val="003F429F"/>
    <w:rsid w:val="003F5407"/>
    <w:rsid w:val="0040472F"/>
    <w:rsid w:val="00407847"/>
    <w:rsid w:val="00411E45"/>
    <w:rsid w:val="00413520"/>
    <w:rsid w:val="00423280"/>
    <w:rsid w:val="0042543C"/>
    <w:rsid w:val="00436DF1"/>
    <w:rsid w:val="004428DB"/>
    <w:rsid w:val="00444A93"/>
    <w:rsid w:val="00447103"/>
    <w:rsid w:val="00465B7F"/>
    <w:rsid w:val="004744B2"/>
    <w:rsid w:val="0048700E"/>
    <w:rsid w:val="00492754"/>
    <w:rsid w:val="00492955"/>
    <w:rsid w:val="00496FA9"/>
    <w:rsid w:val="004A00C8"/>
    <w:rsid w:val="004A321D"/>
    <w:rsid w:val="004B1631"/>
    <w:rsid w:val="004B5921"/>
    <w:rsid w:val="004B7399"/>
    <w:rsid w:val="004D41F0"/>
    <w:rsid w:val="004E091E"/>
    <w:rsid w:val="004E3379"/>
    <w:rsid w:val="004E4462"/>
    <w:rsid w:val="004E716A"/>
    <w:rsid w:val="004F12E8"/>
    <w:rsid w:val="00501D3C"/>
    <w:rsid w:val="005045F8"/>
    <w:rsid w:val="00523F2E"/>
    <w:rsid w:val="00524131"/>
    <w:rsid w:val="00524FCB"/>
    <w:rsid w:val="00527330"/>
    <w:rsid w:val="00532449"/>
    <w:rsid w:val="0053688B"/>
    <w:rsid w:val="00536991"/>
    <w:rsid w:val="00537C76"/>
    <w:rsid w:val="00542B52"/>
    <w:rsid w:val="00551FF8"/>
    <w:rsid w:val="005607B9"/>
    <w:rsid w:val="00560894"/>
    <w:rsid w:val="00563A92"/>
    <w:rsid w:val="005641FD"/>
    <w:rsid w:val="00573923"/>
    <w:rsid w:val="00575EF6"/>
    <w:rsid w:val="00582BE0"/>
    <w:rsid w:val="00587AAB"/>
    <w:rsid w:val="005909C4"/>
    <w:rsid w:val="00591DFB"/>
    <w:rsid w:val="00592A92"/>
    <w:rsid w:val="00593ACC"/>
    <w:rsid w:val="00596E79"/>
    <w:rsid w:val="005B3B14"/>
    <w:rsid w:val="005B5224"/>
    <w:rsid w:val="005B739D"/>
    <w:rsid w:val="005B7BC4"/>
    <w:rsid w:val="005B7D14"/>
    <w:rsid w:val="005C00B2"/>
    <w:rsid w:val="005C46DF"/>
    <w:rsid w:val="005C690C"/>
    <w:rsid w:val="005D3456"/>
    <w:rsid w:val="005D5B13"/>
    <w:rsid w:val="005E5E4F"/>
    <w:rsid w:val="005F5387"/>
    <w:rsid w:val="005F5BD2"/>
    <w:rsid w:val="005F6334"/>
    <w:rsid w:val="005F789A"/>
    <w:rsid w:val="00603DC4"/>
    <w:rsid w:val="00610E19"/>
    <w:rsid w:val="006125D3"/>
    <w:rsid w:val="00617251"/>
    <w:rsid w:val="006235B5"/>
    <w:rsid w:val="00627970"/>
    <w:rsid w:val="00631F7E"/>
    <w:rsid w:val="0064526C"/>
    <w:rsid w:val="00645852"/>
    <w:rsid w:val="00656D0C"/>
    <w:rsid w:val="00661B36"/>
    <w:rsid w:val="0066671D"/>
    <w:rsid w:val="00681D32"/>
    <w:rsid w:val="00685E44"/>
    <w:rsid w:val="00695A3B"/>
    <w:rsid w:val="006973FB"/>
    <w:rsid w:val="006A1D5D"/>
    <w:rsid w:val="006A2B0A"/>
    <w:rsid w:val="006A5401"/>
    <w:rsid w:val="006A617D"/>
    <w:rsid w:val="006A7AB1"/>
    <w:rsid w:val="006B0ABA"/>
    <w:rsid w:val="006B715D"/>
    <w:rsid w:val="006C1F67"/>
    <w:rsid w:val="006C7877"/>
    <w:rsid w:val="006D49DB"/>
    <w:rsid w:val="006E03B6"/>
    <w:rsid w:val="006F07FA"/>
    <w:rsid w:val="006F2997"/>
    <w:rsid w:val="006F76FF"/>
    <w:rsid w:val="00717BD7"/>
    <w:rsid w:val="007236CA"/>
    <w:rsid w:val="00734700"/>
    <w:rsid w:val="00741C67"/>
    <w:rsid w:val="00744B8D"/>
    <w:rsid w:val="00747E0F"/>
    <w:rsid w:val="00752F1C"/>
    <w:rsid w:val="007575E8"/>
    <w:rsid w:val="00762365"/>
    <w:rsid w:val="00762B75"/>
    <w:rsid w:val="007662F0"/>
    <w:rsid w:val="00771213"/>
    <w:rsid w:val="00797967"/>
    <w:rsid w:val="007979C2"/>
    <w:rsid w:val="007A46EA"/>
    <w:rsid w:val="007A7135"/>
    <w:rsid w:val="007B232A"/>
    <w:rsid w:val="007B4ED5"/>
    <w:rsid w:val="007B6BB5"/>
    <w:rsid w:val="007C11F1"/>
    <w:rsid w:val="007C25D0"/>
    <w:rsid w:val="007C660D"/>
    <w:rsid w:val="007C7F9B"/>
    <w:rsid w:val="007D08AB"/>
    <w:rsid w:val="007D5C78"/>
    <w:rsid w:val="007E16D2"/>
    <w:rsid w:val="007F1B01"/>
    <w:rsid w:val="007F52CA"/>
    <w:rsid w:val="007F63E5"/>
    <w:rsid w:val="00825AC9"/>
    <w:rsid w:val="00847796"/>
    <w:rsid w:val="008602F8"/>
    <w:rsid w:val="008713D2"/>
    <w:rsid w:val="008908B5"/>
    <w:rsid w:val="00897295"/>
    <w:rsid w:val="008A1137"/>
    <w:rsid w:val="008B08DD"/>
    <w:rsid w:val="008B1888"/>
    <w:rsid w:val="008B4BC8"/>
    <w:rsid w:val="008B63EB"/>
    <w:rsid w:val="008B6BFB"/>
    <w:rsid w:val="008C242F"/>
    <w:rsid w:val="008C6E4E"/>
    <w:rsid w:val="008D0837"/>
    <w:rsid w:val="008D1ADE"/>
    <w:rsid w:val="008D1F6B"/>
    <w:rsid w:val="008D7314"/>
    <w:rsid w:val="008D75AF"/>
    <w:rsid w:val="008F17CA"/>
    <w:rsid w:val="008F22BC"/>
    <w:rsid w:val="008F5AE9"/>
    <w:rsid w:val="00900137"/>
    <w:rsid w:val="00900C60"/>
    <w:rsid w:val="009027CE"/>
    <w:rsid w:val="009030D2"/>
    <w:rsid w:val="0090596F"/>
    <w:rsid w:val="009102C2"/>
    <w:rsid w:val="00933541"/>
    <w:rsid w:val="00946244"/>
    <w:rsid w:val="009515B6"/>
    <w:rsid w:val="0096546C"/>
    <w:rsid w:val="00972F56"/>
    <w:rsid w:val="009734CE"/>
    <w:rsid w:val="00974055"/>
    <w:rsid w:val="00975BE6"/>
    <w:rsid w:val="00983707"/>
    <w:rsid w:val="0098799E"/>
    <w:rsid w:val="00990565"/>
    <w:rsid w:val="009949CA"/>
    <w:rsid w:val="009A0A6B"/>
    <w:rsid w:val="009A5766"/>
    <w:rsid w:val="009B0A01"/>
    <w:rsid w:val="009B17BC"/>
    <w:rsid w:val="009B2591"/>
    <w:rsid w:val="009B33CA"/>
    <w:rsid w:val="009B67C9"/>
    <w:rsid w:val="009C2992"/>
    <w:rsid w:val="009C3A2B"/>
    <w:rsid w:val="009C530A"/>
    <w:rsid w:val="009C7EFC"/>
    <w:rsid w:val="009D0CD0"/>
    <w:rsid w:val="009D1FD9"/>
    <w:rsid w:val="009D3930"/>
    <w:rsid w:val="009D7244"/>
    <w:rsid w:val="009E1B50"/>
    <w:rsid w:val="009F1F9F"/>
    <w:rsid w:val="00A04898"/>
    <w:rsid w:val="00A25281"/>
    <w:rsid w:val="00A27C4F"/>
    <w:rsid w:val="00A33829"/>
    <w:rsid w:val="00A346C6"/>
    <w:rsid w:val="00A42458"/>
    <w:rsid w:val="00A44FAD"/>
    <w:rsid w:val="00A61EB5"/>
    <w:rsid w:val="00A6572E"/>
    <w:rsid w:val="00A7249C"/>
    <w:rsid w:val="00A72B8E"/>
    <w:rsid w:val="00A72F5E"/>
    <w:rsid w:val="00A7577E"/>
    <w:rsid w:val="00A90285"/>
    <w:rsid w:val="00A917C1"/>
    <w:rsid w:val="00A91CCF"/>
    <w:rsid w:val="00A9218E"/>
    <w:rsid w:val="00A97F57"/>
    <w:rsid w:val="00AA1FCE"/>
    <w:rsid w:val="00AB1017"/>
    <w:rsid w:val="00AB1CA4"/>
    <w:rsid w:val="00AB38FF"/>
    <w:rsid w:val="00AB700B"/>
    <w:rsid w:val="00AC3A01"/>
    <w:rsid w:val="00AD070A"/>
    <w:rsid w:val="00AE2E7B"/>
    <w:rsid w:val="00AE4BE1"/>
    <w:rsid w:val="00AF0D2C"/>
    <w:rsid w:val="00AF115E"/>
    <w:rsid w:val="00AF1405"/>
    <w:rsid w:val="00AF1589"/>
    <w:rsid w:val="00AF1A16"/>
    <w:rsid w:val="00B01B81"/>
    <w:rsid w:val="00B041EC"/>
    <w:rsid w:val="00B04310"/>
    <w:rsid w:val="00B05B77"/>
    <w:rsid w:val="00B07744"/>
    <w:rsid w:val="00B11BF1"/>
    <w:rsid w:val="00B165EA"/>
    <w:rsid w:val="00B16D0C"/>
    <w:rsid w:val="00B255A6"/>
    <w:rsid w:val="00B26582"/>
    <w:rsid w:val="00B3448A"/>
    <w:rsid w:val="00B34ECE"/>
    <w:rsid w:val="00B42652"/>
    <w:rsid w:val="00B56481"/>
    <w:rsid w:val="00B64B1F"/>
    <w:rsid w:val="00B747A6"/>
    <w:rsid w:val="00B86AC9"/>
    <w:rsid w:val="00B904DB"/>
    <w:rsid w:val="00B90811"/>
    <w:rsid w:val="00B93A76"/>
    <w:rsid w:val="00BB224F"/>
    <w:rsid w:val="00BB4AA0"/>
    <w:rsid w:val="00BB50B8"/>
    <w:rsid w:val="00BC17DC"/>
    <w:rsid w:val="00BC511A"/>
    <w:rsid w:val="00BC686F"/>
    <w:rsid w:val="00BD11CF"/>
    <w:rsid w:val="00BD3504"/>
    <w:rsid w:val="00BD4E08"/>
    <w:rsid w:val="00BD5E61"/>
    <w:rsid w:val="00BE165B"/>
    <w:rsid w:val="00BE26E0"/>
    <w:rsid w:val="00BE459F"/>
    <w:rsid w:val="00BE58C1"/>
    <w:rsid w:val="00BE72A9"/>
    <w:rsid w:val="00BE7843"/>
    <w:rsid w:val="00BF59B4"/>
    <w:rsid w:val="00BF7A85"/>
    <w:rsid w:val="00C0197B"/>
    <w:rsid w:val="00C02C8E"/>
    <w:rsid w:val="00C07AEF"/>
    <w:rsid w:val="00C10E4E"/>
    <w:rsid w:val="00C26D92"/>
    <w:rsid w:val="00C3496C"/>
    <w:rsid w:val="00C35B4A"/>
    <w:rsid w:val="00C37914"/>
    <w:rsid w:val="00C46242"/>
    <w:rsid w:val="00C46C96"/>
    <w:rsid w:val="00C548CE"/>
    <w:rsid w:val="00C55229"/>
    <w:rsid w:val="00C622D2"/>
    <w:rsid w:val="00C6384F"/>
    <w:rsid w:val="00C67179"/>
    <w:rsid w:val="00C67B4D"/>
    <w:rsid w:val="00C7107E"/>
    <w:rsid w:val="00C772D6"/>
    <w:rsid w:val="00C81706"/>
    <w:rsid w:val="00C8401B"/>
    <w:rsid w:val="00C84258"/>
    <w:rsid w:val="00C85BAD"/>
    <w:rsid w:val="00C860B1"/>
    <w:rsid w:val="00C86B06"/>
    <w:rsid w:val="00C9128E"/>
    <w:rsid w:val="00C92A43"/>
    <w:rsid w:val="00C94369"/>
    <w:rsid w:val="00C976DE"/>
    <w:rsid w:val="00CA15C3"/>
    <w:rsid w:val="00CA3196"/>
    <w:rsid w:val="00CA725C"/>
    <w:rsid w:val="00CB1FEE"/>
    <w:rsid w:val="00CB3C69"/>
    <w:rsid w:val="00CB3F12"/>
    <w:rsid w:val="00CB6354"/>
    <w:rsid w:val="00CB66DC"/>
    <w:rsid w:val="00CB6D61"/>
    <w:rsid w:val="00CC2B8F"/>
    <w:rsid w:val="00CC4FC3"/>
    <w:rsid w:val="00CD1DC3"/>
    <w:rsid w:val="00CD3528"/>
    <w:rsid w:val="00CE3105"/>
    <w:rsid w:val="00CE3FF5"/>
    <w:rsid w:val="00CE62C8"/>
    <w:rsid w:val="00CF3FF9"/>
    <w:rsid w:val="00CF461A"/>
    <w:rsid w:val="00D0118B"/>
    <w:rsid w:val="00D02C62"/>
    <w:rsid w:val="00D0312B"/>
    <w:rsid w:val="00D04D57"/>
    <w:rsid w:val="00D07B3F"/>
    <w:rsid w:val="00D23CDE"/>
    <w:rsid w:val="00D24033"/>
    <w:rsid w:val="00D244C9"/>
    <w:rsid w:val="00D24789"/>
    <w:rsid w:val="00D34AD8"/>
    <w:rsid w:val="00D36C8B"/>
    <w:rsid w:val="00D37DAA"/>
    <w:rsid w:val="00D520C5"/>
    <w:rsid w:val="00D523C3"/>
    <w:rsid w:val="00D57E96"/>
    <w:rsid w:val="00D60D54"/>
    <w:rsid w:val="00D66EF1"/>
    <w:rsid w:val="00D672FB"/>
    <w:rsid w:val="00D67848"/>
    <w:rsid w:val="00D7109A"/>
    <w:rsid w:val="00D71377"/>
    <w:rsid w:val="00D750F0"/>
    <w:rsid w:val="00D810DB"/>
    <w:rsid w:val="00D856DB"/>
    <w:rsid w:val="00D91427"/>
    <w:rsid w:val="00D968B9"/>
    <w:rsid w:val="00DA20EF"/>
    <w:rsid w:val="00DB156C"/>
    <w:rsid w:val="00DB3251"/>
    <w:rsid w:val="00DB39EF"/>
    <w:rsid w:val="00DC7F32"/>
    <w:rsid w:val="00DD091B"/>
    <w:rsid w:val="00DD3DB1"/>
    <w:rsid w:val="00DE2CE1"/>
    <w:rsid w:val="00DF0533"/>
    <w:rsid w:val="00DF7237"/>
    <w:rsid w:val="00DF7D73"/>
    <w:rsid w:val="00E07FA9"/>
    <w:rsid w:val="00E135E4"/>
    <w:rsid w:val="00E15C64"/>
    <w:rsid w:val="00E2178E"/>
    <w:rsid w:val="00E26493"/>
    <w:rsid w:val="00E31102"/>
    <w:rsid w:val="00E35300"/>
    <w:rsid w:val="00E40BA9"/>
    <w:rsid w:val="00E42C8E"/>
    <w:rsid w:val="00E4339A"/>
    <w:rsid w:val="00E4526B"/>
    <w:rsid w:val="00E4636B"/>
    <w:rsid w:val="00E509CD"/>
    <w:rsid w:val="00E63BDD"/>
    <w:rsid w:val="00E63DD8"/>
    <w:rsid w:val="00E740E7"/>
    <w:rsid w:val="00E77511"/>
    <w:rsid w:val="00E8423F"/>
    <w:rsid w:val="00E851E2"/>
    <w:rsid w:val="00E854CC"/>
    <w:rsid w:val="00E90155"/>
    <w:rsid w:val="00E91674"/>
    <w:rsid w:val="00E94464"/>
    <w:rsid w:val="00EA19AD"/>
    <w:rsid w:val="00EA5494"/>
    <w:rsid w:val="00EB18F3"/>
    <w:rsid w:val="00EB5E09"/>
    <w:rsid w:val="00EB61E2"/>
    <w:rsid w:val="00EB62C9"/>
    <w:rsid w:val="00EC431F"/>
    <w:rsid w:val="00EC4479"/>
    <w:rsid w:val="00ED6B70"/>
    <w:rsid w:val="00EF71EA"/>
    <w:rsid w:val="00F03D02"/>
    <w:rsid w:val="00F05CD2"/>
    <w:rsid w:val="00F06468"/>
    <w:rsid w:val="00F13726"/>
    <w:rsid w:val="00F1476B"/>
    <w:rsid w:val="00F252FD"/>
    <w:rsid w:val="00F27893"/>
    <w:rsid w:val="00F30411"/>
    <w:rsid w:val="00F3081C"/>
    <w:rsid w:val="00F4022E"/>
    <w:rsid w:val="00F45B4E"/>
    <w:rsid w:val="00F54B7F"/>
    <w:rsid w:val="00F56CDE"/>
    <w:rsid w:val="00F646D4"/>
    <w:rsid w:val="00F710A0"/>
    <w:rsid w:val="00F713B1"/>
    <w:rsid w:val="00F71DA6"/>
    <w:rsid w:val="00F72380"/>
    <w:rsid w:val="00F74D4C"/>
    <w:rsid w:val="00F74FF6"/>
    <w:rsid w:val="00F757C3"/>
    <w:rsid w:val="00F8202F"/>
    <w:rsid w:val="00F91715"/>
    <w:rsid w:val="00F94889"/>
    <w:rsid w:val="00F95869"/>
    <w:rsid w:val="00FA0B1E"/>
    <w:rsid w:val="00FB238E"/>
    <w:rsid w:val="00FB4717"/>
    <w:rsid w:val="00FB564F"/>
    <w:rsid w:val="00FB682F"/>
    <w:rsid w:val="00FC0A15"/>
    <w:rsid w:val="00FC1BEC"/>
    <w:rsid w:val="00FC1BF1"/>
    <w:rsid w:val="00FC369D"/>
    <w:rsid w:val="00FC418C"/>
    <w:rsid w:val="00FD08F6"/>
    <w:rsid w:val="00FE0D10"/>
    <w:rsid w:val="00FF7F08"/>
    <w:rsid w:val="01557AD7"/>
    <w:rsid w:val="039B0E3B"/>
    <w:rsid w:val="0543058E"/>
    <w:rsid w:val="0923509C"/>
    <w:rsid w:val="0C156F3E"/>
    <w:rsid w:val="0C244CE7"/>
    <w:rsid w:val="0D004E3D"/>
    <w:rsid w:val="107C2FD5"/>
    <w:rsid w:val="112E4BAC"/>
    <w:rsid w:val="1B0D6F46"/>
    <w:rsid w:val="1CC066DC"/>
    <w:rsid w:val="1E1976EB"/>
    <w:rsid w:val="208B4876"/>
    <w:rsid w:val="225124A7"/>
    <w:rsid w:val="228D6020"/>
    <w:rsid w:val="27F84452"/>
    <w:rsid w:val="2BC3014A"/>
    <w:rsid w:val="2FFD63EE"/>
    <w:rsid w:val="32CE41E8"/>
    <w:rsid w:val="33AE2BE8"/>
    <w:rsid w:val="34963AB6"/>
    <w:rsid w:val="353D1B60"/>
    <w:rsid w:val="367F52CA"/>
    <w:rsid w:val="36EA2875"/>
    <w:rsid w:val="370F1A24"/>
    <w:rsid w:val="3ABC244E"/>
    <w:rsid w:val="3DA513D2"/>
    <w:rsid w:val="3E4A7A3F"/>
    <w:rsid w:val="3EDF5E20"/>
    <w:rsid w:val="426746F0"/>
    <w:rsid w:val="44251D0F"/>
    <w:rsid w:val="481F78B1"/>
    <w:rsid w:val="4A4235FD"/>
    <w:rsid w:val="4B514AF8"/>
    <w:rsid w:val="540B7FD6"/>
    <w:rsid w:val="54E47877"/>
    <w:rsid w:val="557C5852"/>
    <w:rsid w:val="56D107E3"/>
    <w:rsid w:val="582F464A"/>
    <w:rsid w:val="59696BD3"/>
    <w:rsid w:val="5A4B5283"/>
    <w:rsid w:val="64D61A6C"/>
    <w:rsid w:val="670728BD"/>
    <w:rsid w:val="77CF034F"/>
    <w:rsid w:val="78377D50"/>
    <w:rsid w:val="7CC3527F"/>
    <w:rsid w:val="7FCF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5"/>
    <w:qFormat/>
    <w:uiPriority w:val="99"/>
    <w:rPr>
      <w:rFonts w:ascii="Calibri" w:hAnsi="Calibri" w:eastAsia="宋体" w:cs="Times New Roman"/>
      <w:sz w:val="18"/>
      <w:szCs w:val="18"/>
    </w:rPr>
  </w:style>
  <w:style w:type="character" w:customStyle="1" w:styleId="13">
    <w:name w:val="页脚 Char"/>
    <w:basedOn w:val="9"/>
    <w:link w:val="4"/>
    <w:qFormat/>
    <w:uiPriority w:val="99"/>
    <w:rPr>
      <w:rFonts w:ascii="Calibri" w:hAnsi="Calibri" w:eastAsia="宋体" w:cs="Times New Roman"/>
      <w:sz w:val="18"/>
      <w:szCs w:val="18"/>
    </w:rPr>
  </w:style>
  <w:style w:type="paragraph" w:styleId="14">
    <w:name w:val="List Paragraph"/>
    <w:basedOn w:val="1"/>
    <w:qFormat/>
    <w:uiPriority w:val="34"/>
    <w:pPr>
      <w:ind w:firstLine="420" w:firstLineChars="200"/>
    </w:pPr>
  </w:style>
  <w:style w:type="character" w:customStyle="1" w:styleId="15">
    <w:name w:val="批注框文本 Char"/>
    <w:basedOn w:val="9"/>
    <w:link w:val="3"/>
    <w:semiHidden/>
    <w:qFormat/>
    <w:uiPriority w:val="99"/>
    <w:rPr>
      <w:rFonts w:ascii="Calibri" w:hAnsi="Calibri" w:eastAsia="宋体" w:cs="Times New Roman"/>
      <w:sz w:val="18"/>
      <w:szCs w:val="18"/>
    </w:rPr>
  </w:style>
  <w:style w:type="character" w:customStyle="1" w:styleId="16">
    <w:name w:val="批注文字 Char"/>
    <w:basedOn w:val="9"/>
    <w:link w:val="2"/>
    <w:semiHidden/>
    <w:qFormat/>
    <w:uiPriority w:val="99"/>
    <w:rPr>
      <w:rFonts w:ascii="Calibri" w:hAnsi="Calibri" w:eastAsia="宋体" w:cs="Times New Roman"/>
    </w:rPr>
  </w:style>
  <w:style w:type="character" w:customStyle="1" w:styleId="17">
    <w:name w:val="批注主题 Char"/>
    <w:basedOn w:val="16"/>
    <w:link w:val="6"/>
    <w:semiHidden/>
    <w:qFormat/>
    <w:uiPriority w:val="99"/>
    <w:rPr>
      <w:rFonts w:ascii="Calibri" w:hAnsi="Calibri" w:eastAsia="宋体" w:cs="Times New Roman"/>
      <w:b/>
      <w:bCs/>
    </w:rPr>
  </w:style>
  <w:style w:type="paragraph" w:customStyle="1" w:styleId="18">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crbank</Company>
  <Pages>6</Pages>
  <Words>822</Words>
  <Characters>4692</Characters>
  <Lines>39</Lines>
  <Paragraphs>11</Paragraphs>
  <TotalTime>3</TotalTime>
  <ScaleCrop>false</ScaleCrop>
  <LinksUpToDate>false</LinksUpToDate>
  <CharactersWithSpaces>5503</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2021-02-28T06:24:00Z</dcterms:created>
  <dc:creator>程凤琴</dc:creator>
  <cp:lastModifiedBy>kejunjie</cp:lastModifiedBy>
  <cp:lastPrinted>2020-04-09T06:43:00Z</cp:lastPrinted>
  <dcterms:modified xsi:type="dcterms:W3CDTF">2021-10-20T03:14:50Z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