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hint="eastAsia" w:ascii="方正黑体简体" w:eastAsia="方正黑体简体"/>
          <w:b/>
          <w:sz w:val="28"/>
          <w:szCs w:val="28"/>
        </w:rPr>
        <w:t>南银理财珠联璧合鑫逸稳半年139期封闭式公募人民币理财产品（Y71139）每周净值公告</w:t>
      </w:r>
    </w:p>
    <w:p>
      <w:pPr>
        <w:spacing w:after="93" w:line="360" w:lineRule="auto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尊敬的投资者：</w:t>
      </w:r>
    </w:p>
    <w:p>
      <w:pPr>
        <w:spacing w:after="93" w:line="360" w:lineRule="auto"/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ascii="方正仿宋简体" w:hAnsi="Times New Roman" w:eastAsia="方正仿宋简体"/>
          <w:szCs w:val="21"/>
        </w:rPr>
        <w:t>南银理财珠联璧合鑫逸稳半年139期封闭式公募人民币理财产品</w:t>
      </w:r>
      <w:r>
        <w:rPr>
          <w:rFonts w:hint="eastAsia" w:ascii="方正仿宋简体" w:hAnsi="Times New Roman" w:eastAsia="方正仿宋简体"/>
          <w:szCs w:val="21"/>
        </w:rPr>
        <w:t xml:space="preserve"> (产品登记编码</w:t>
      </w:r>
      <w:r>
        <w:rPr>
          <w:rFonts w:ascii="方正仿宋简体" w:hAnsi="Times New Roman" w:eastAsia="方正仿宋简体"/>
          <w:szCs w:val="21"/>
        </w:rPr>
        <w:t>Z7003225000289</w:t>
      </w:r>
      <w:r>
        <w:rPr>
          <w:rFonts w:hint="eastAsia" w:ascii="方正仿宋简体" w:hAnsi="Times New Roman" w:eastAsia="方正仿宋简体"/>
          <w:szCs w:val="21"/>
        </w:rPr>
        <w:t>，内部销售代码Y71139)成立于</w:t>
      </w:r>
      <w:r>
        <w:rPr>
          <w:rFonts w:ascii="方正仿宋简体" w:hAnsi="Times New Roman" w:eastAsia="方正仿宋简体"/>
          <w:szCs w:val="21"/>
        </w:rPr>
        <w:t>2025年08月27日</w:t>
      </w:r>
      <w:r>
        <w:rPr>
          <w:rFonts w:hint="eastAsia" w:ascii="方正仿宋简体" w:hAnsi="Times New Roman" w:eastAsia="方正仿宋简体"/>
          <w:szCs w:val="21"/>
        </w:rPr>
        <w:t>，到期日为2026年03月11日。</w:t>
      </w:r>
      <w:r>
        <w:rPr>
          <w:rFonts w:ascii="方正仿宋简体" w:hAnsi="Times New Roman" w:eastAsia="方正仿宋简体"/>
          <w:szCs w:val="21"/>
        </w:rPr>
        <w:t>2025年09月05日</w:t>
      </w:r>
      <w:r>
        <w:rPr>
          <w:rFonts w:hint="eastAsia" w:ascii="方正仿宋简体" w:hAnsi="Times New Roman" w:eastAsia="方正仿宋简体"/>
          <w:szCs w:val="21"/>
        </w:rPr>
        <w:t>净值如下：</w:t>
      </w:r>
      <w:r>
        <w:rPr>
          <w:rFonts w:ascii="方正仿宋简体" w:hAnsi="Times New Roman" w:eastAsia="方正仿宋简体"/>
          <w:szCs w:val="21"/>
        </w:rPr>
        <w:t xml:space="preserve"> </w:t>
      </w:r>
    </w:p>
    <w:tbl>
      <w:tblPr>
        <w:tblStyle w:val="6"/>
        <w:tblW w:w="8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1.0007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1.0007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524,230,068.79</w:t>
            </w:r>
          </w:p>
        </w:tc>
      </w:tr>
    </w:tbl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注：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1.本产品公布净值至小数点后</w:t>
      </w:r>
      <w:r>
        <w:rPr>
          <w:rFonts w:hint="eastAsia" w:ascii="方正仿宋简体" w:hAnsi="仿宋_GB2312" w:eastAsia="方正仿宋简体" w:cs="仿宋_GB2312"/>
          <w:szCs w:val="21"/>
          <w:lang w:val="en-US" w:eastAsia="zh-CN"/>
        </w:rPr>
        <w:t>四</w:t>
      </w:r>
      <w:bookmarkStart w:id="0" w:name="_GoBack"/>
      <w:bookmarkEnd w:id="0"/>
      <w:r>
        <w:rPr>
          <w:rFonts w:hint="eastAsia" w:ascii="方正仿宋简体" w:hAnsi="Times New Roman" w:eastAsia="方正仿宋简体"/>
          <w:szCs w:val="21"/>
        </w:rPr>
        <w:t>位，实际收益以投资者收到金额为准。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2.份额净值是当日的理财产品单位净值，资产净值是资产对应总价值与其包含的负债之差。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3.产品净值可能存在未扣除管理人及投资合作机构业绩报酬、赎回费等费用（如有）的情况</w:t>
      </w:r>
      <w:r>
        <w:rPr>
          <w:rFonts w:ascii="方正仿宋简体" w:hAnsi="Times New Roman" w:eastAsia="方正仿宋简体"/>
          <w:szCs w:val="21"/>
        </w:rPr>
        <w:t>，</w:t>
      </w:r>
      <w:r>
        <w:rPr>
          <w:rFonts w:hint="eastAsia" w:ascii="方正仿宋简体" w:hAnsi="Times New Roman" w:eastAsia="方正仿宋简体"/>
          <w:szCs w:val="21"/>
        </w:rPr>
        <w:t>实际收益以兑付为准。</w:t>
      </w:r>
    </w:p>
    <w:p>
      <w:pPr>
        <w:jc w:val="left"/>
        <w:rPr>
          <w:rFonts w:ascii="方正仿宋简体" w:hAnsi="Times New Roman" w:eastAsia="方正仿宋简体"/>
          <w:szCs w:val="21"/>
        </w:rPr>
      </w:pPr>
    </w:p>
    <w:p>
      <w:pPr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特此公告。</w:t>
      </w:r>
    </w:p>
    <w:p>
      <w:pPr>
        <w:spacing w:after="93" w:line="360" w:lineRule="auto"/>
        <w:jc w:val="left"/>
        <w:rPr>
          <w:rFonts w:ascii="方正仿宋简体" w:hAnsi="Times New Roman" w:eastAsia="方正仿宋简体"/>
          <w:szCs w:val="21"/>
        </w:rPr>
      </w:pPr>
    </w:p>
    <w:p>
      <w:pPr>
        <w:spacing w:after="93" w:line="360" w:lineRule="auto"/>
        <w:ind w:firstLine="420" w:firstLineChars="200"/>
        <w:jc w:val="righ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南银理财有限责任公司</w:t>
      </w:r>
    </w:p>
    <w:p>
      <w:pPr>
        <w:spacing w:after="93" w:line="360" w:lineRule="auto"/>
        <w:ind w:firstLine="420" w:firstLineChars="200"/>
        <w:jc w:val="righ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2025年09月08日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4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fontTable.xml" Type="http://schemas.openxmlformats.org/officeDocument/2006/relationships/fontTable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oter3.xml" Type="http://schemas.openxmlformats.org/officeDocument/2006/relationships/footer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148</Characters>
  <Lines>1</Lines>
  <Paragraphs>1</Paragraphs>
  <TotalTime>0</TotalTime>
  <ScaleCrop>false</ScaleCrop>
  <LinksUpToDate>false</LinksUpToDate>
  <CharactersWithSpaces>424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兆尹科技</cp:lastModifiedBy>
  <dcterms:modified xsi:type="dcterms:W3CDTF">2023-07-19T06:33:07Z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