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hint="eastAsia" w:ascii="方正黑体简体" w:eastAsia="方正黑体简体"/>
          <w:b/>
          <w:sz w:val="28"/>
          <w:szCs w:val="28"/>
        </w:rPr>
        <w:t>南银理财珠联璧合鑫逸稳一年227期封闭式公募人民币理财产品（Y31227）每周净值公告</w:t>
      </w:r>
    </w:p>
    <w:p>
      <w:pPr>
        <w:spacing w:after="93" w:line="360" w:lineRule="auto"/>
        <w:jc w:val="left"/>
        <w:rPr>
          <w:rFonts w:ascii="方正仿宋简体" w:hAnsi="Times New Roman" w:eastAsia="方正仿宋简体"/>
          <w:szCs w:val="21"/>
        </w:rPr>
      </w:pPr>
      <w:r>
        <w:rPr>
          <w:rFonts w:hint="eastAsia" w:ascii="方正仿宋简体" w:hAnsi="Times New Roman" w:eastAsia="方正仿宋简体"/>
          <w:szCs w:val="21"/>
        </w:rPr>
        <w:t>尊敬的投资者：</w:t>
      </w:r>
    </w:p>
    <w:p>
      <w:pPr>
        <w:spacing w:after="93" w:line="360" w:lineRule="auto"/>
        <w:ind w:firstLine="420"/>
        <w:jc w:val="left"/>
        <w:rPr>
          <w:rFonts w:ascii="方正仿宋简体" w:hAnsi="Times New Roman" w:eastAsia="方正仿宋简体"/>
          <w:szCs w:val="21"/>
        </w:rPr>
      </w:pPr>
      <w:r>
        <w:rPr>
          <w:rFonts w:ascii="方正仿宋简体" w:hAnsi="Times New Roman" w:eastAsia="方正仿宋简体"/>
          <w:szCs w:val="21"/>
        </w:rPr>
        <w:t>南银理财珠联璧合鑫逸稳一年227期封闭式公募人民币理财产品</w:t>
      </w:r>
      <w:r>
        <w:rPr>
          <w:rFonts w:hint="eastAsia" w:ascii="方正仿宋简体" w:hAnsi="Times New Roman" w:eastAsia="方正仿宋简体"/>
          <w:szCs w:val="21"/>
        </w:rPr>
        <w:t xml:space="preserve"> (产品登记编码</w:t>
      </w:r>
      <w:r>
        <w:rPr>
          <w:rFonts w:ascii="方正仿宋简体" w:hAnsi="Times New Roman" w:eastAsia="方正仿宋简体"/>
          <w:szCs w:val="21"/>
        </w:rPr>
        <w:t>Z7003225000180</w:t>
      </w:r>
      <w:r>
        <w:rPr>
          <w:rFonts w:hint="eastAsia" w:ascii="方正仿宋简体" w:hAnsi="Times New Roman" w:eastAsia="方正仿宋简体"/>
          <w:szCs w:val="21"/>
        </w:rPr>
        <w:t>，内部销售代码Y31227)成立于</w:t>
      </w:r>
      <w:r>
        <w:rPr>
          <w:rFonts w:ascii="方正仿宋简体" w:hAnsi="Times New Roman" w:eastAsia="方正仿宋简体"/>
          <w:szCs w:val="21"/>
        </w:rPr>
        <w:t>2025年06月25日</w:t>
      </w:r>
      <w:r>
        <w:rPr>
          <w:rFonts w:hint="eastAsia" w:ascii="方正仿宋简体" w:hAnsi="Times New Roman" w:eastAsia="方正仿宋简体"/>
          <w:szCs w:val="21"/>
        </w:rPr>
        <w:t>，到期日为2026年07月29日。</w:t>
      </w:r>
      <w:r>
        <w:rPr>
          <w:rFonts w:ascii="方正仿宋简体" w:hAnsi="Times New Roman" w:eastAsia="方正仿宋简体"/>
          <w:szCs w:val="21"/>
        </w:rPr>
        <w:t>2025年09月05日</w:t>
      </w:r>
      <w:r>
        <w:rPr>
          <w:rFonts w:hint="eastAsia" w:ascii="方正仿宋简体" w:hAnsi="Times New Roman" w:eastAsia="方正仿宋简体"/>
          <w:szCs w:val="21"/>
        </w:rPr>
        <w:t>净值如下：</w:t>
      </w:r>
      <w:r>
        <w:rPr>
          <w:rFonts w:ascii="方正仿宋简体" w:hAnsi="Times New Roman" w:eastAsia="方正仿宋简体"/>
          <w:szCs w:val="21"/>
        </w:rPr>
        <w:t xml:space="preserve"> </w:t>
      </w:r>
    </w:p>
    <w:tbl>
      <w:tblPr>
        <w:tblStyle w:val="6"/>
        <w:tblW w:w="847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52"/>
        <w:gridCol w:w="48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652" w:type="dxa"/>
            <w:vAlign w:val="center"/>
          </w:tcPr>
          <w:p>
            <w:pPr>
              <w:jc w:val="center"/>
              <w:rPr>
                <w:rFonts w:ascii="方正仿宋简体" w:hAnsi="Times New Roman" w:eastAsia="方正仿宋简体"/>
                <w:szCs w:val="21"/>
              </w:rPr>
            </w:pPr>
            <w:r>
              <w:rPr>
                <w:rFonts w:hint="eastAsia" w:ascii="方正仿宋简体" w:hAnsi="Times New Roman" w:eastAsia="方正仿宋简体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>
            <w:pPr>
              <w:jc w:val="center"/>
              <w:rPr>
                <w:rFonts w:ascii="方正仿宋简体" w:hAnsi="Times New Roman" w:eastAsia="方正仿宋简体"/>
                <w:szCs w:val="21"/>
              </w:rPr>
            </w:pPr>
            <w:r>
              <w:rPr>
                <w:rFonts w:hint="eastAsia" w:ascii="方正仿宋简体" w:hAnsi="Times New Roman" w:eastAsia="方正仿宋简体"/>
                <w:szCs w:val="21"/>
              </w:rPr>
              <w:t>1.0035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652" w:type="dxa"/>
            <w:vAlign w:val="center"/>
          </w:tcPr>
          <w:p>
            <w:pPr>
              <w:jc w:val="center"/>
              <w:rPr>
                <w:rFonts w:ascii="方正仿宋简体" w:hAnsi="Times New Roman" w:eastAsia="方正仿宋简体"/>
                <w:szCs w:val="21"/>
              </w:rPr>
            </w:pPr>
            <w:r>
              <w:rPr>
                <w:rFonts w:hint="eastAsia" w:ascii="方正仿宋简体" w:hAnsi="Times New Roman" w:eastAsia="方正仿宋简体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>
            <w:pPr>
              <w:jc w:val="center"/>
              <w:rPr>
                <w:rFonts w:ascii="方正仿宋简体" w:hAnsi="Times New Roman" w:eastAsia="方正仿宋简体"/>
                <w:szCs w:val="21"/>
              </w:rPr>
            </w:pPr>
            <w:r>
              <w:rPr>
                <w:rFonts w:hint="eastAsia" w:ascii="方正仿宋简体" w:hAnsi="Times New Roman" w:eastAsia="方正仿宋简体"/>
                <w:szCs w:val="21"/>
              </w:rPr>
              <w:t>1.0035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652" w:type="dxa"/>
            <w:vAlign w:val="center"/>
          </w:tcPr>
          <w:p>
            <w:pPr>
              <w:jc w:val="center"/>
              <w:rPr>
                <w:rFonts w:ascii="方正仿宋简体" w:hAnsi="Times New Roman" w:eastAsia="方正仿宋简体"/>
                <w:szCs w:val="21"/>
              </w:rPr>
            </w:pPr>
            <w:r>
              <w:rPr>
                <w:rFonts w:hint="eastAsia" w:ascii="方正仿宋简体" w:hAnsi="Times New Roman" w:eastAsia="方正仿宋简体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>
            <w:pPr>
              <w:jc w:val="center"/>
              <w:rPr>
                <w:rFonts w:ascii="方正仿宋简体" w:hAnsi="Times New Roman" w:eastAsia="方正仿宋简体"/>
                <w:szCs w:val="21"/>
              </w:rPr>
            </w:pPr>
            <w:r>
              <w:rPr>
                <w:rFonts w:hint="eastAsia" w:ascii="方正仿宋简体" w:hAnsi="Times New Roman" w:eastAsia="方正仿宋简体"/>
                <w:szCs w:val="21"/>
              </w:rPr>
              <w:t>280,659,581.95</w:t>
            </w:r>
          </w:p>
        </w:tc>
      </w:tr>
    </w:tbl>
    <w:p>
      <w:pPr>
        <w:jc w:val="left"/>
        <w:rPr>
          <w:rFonts w:ascii="方正仿宋简体" w:hAnsi="Times New Roman" w:eastAsia="方正仿宋简体"/>
          <w:szCs w:val="21"/>
        </w:rPr>
      </w:pPr>
      <w:r>
        <w:rPr>
          <w:rFonts w:hint="eastAsia" w:ascii="方正仿宋简体" w:hAnsi="Times New Roman" w:eastAsia="方正仿宋简体"/>
          <w:szCs w:val="21"/>
        </w:rPr>
        <w:t>注：</w:t>
      </w:r>
    </w:p>
    <w:p>
      <w:pPr>
        <w:jc w:val="left"/>
        <w:rPr>
          <w:rFonts w:ascii="方正仿宋简体" w:hAnsi="Times New Roman" w:eastAsia="方正仿宋简体"/>
          <w:szCs w:val="21"/>
        </w:rPr>
      </w:pPr>
      <w:r>
        <w:rPr>
          <w:rFonts w:hint="eastAsia" w:ascii="方正仿宋简体" w:hAnsi="Times New Roman" w:eastAsia="方正仿宋简体"/>
          <w:szCs w:val="21"/>
        </w:rPr>
        <w:t>1.本产品公布净值至小数点后</w:t>
      </w:r>
      <w:r>
        <w:rPr>
          <w:rFonts w:hint="eastAsia" w:ascii="方正仿宋简体" w:hAnsi="仿宋_GB2312" w:eastAsia="方正仿宋简体" w:cs="仿宋_GB2312"/>
          <w:szCs w:val="21"/>
          <w:lang w:val="en-US" w:eastAsia="zh-CN"/>
        </w:rPr>
        <w:t>四</w:t>
      </w:r>
      <w:bookmarkStart w:id="0" w:name="_GoBack"/>
      <w:bookmarkEnd w:id="0"/>
      <w:r>
        <w:rPr>
          <w:rFonts w:hint="eastAsia" w:ascii="方正仿宋简体" w:hAnsi="Times New Roman" w:eastAsia="方正仿宋简体"/>
          <w:szCs w:val="21"/>
        </w:rPr>
        <w:t>位，实际收益以投资者收到金额为准。</w:t>
      </w:r>
    </w:p>
    <w:p>
      <w:pPr>
        <w:jc w:val="left"/>
        <w:rPr>
          <w:rFonts w:ascii="方正仿宋简体" w:hAnsi="Times New Roman" w:eastAsia="方正仿宋简体"/>
          <w:szCs w:val="21"/>
        </w:rPr>
      </w:pPr>
      <w:r>
        <w:rPr>
          <w:rFonts w:hint="eastAsia" w:ascii="方正仿宋简体" w:hAnsi="Times New Roman" w:eastAsia="方正仿宋简体"/>
          <w:szCs w:val="21"/>
        </w:rPr>
        <w:t>2.份额净值是当日的理财产品单位净值，资产净值是资产对应总价值与其包含的负债之差。</w:t>
      </w:r>
    </w:p>
    <w:p>
      <w:pPr>
        <w:jc w:val="left"/>
        <w:rPr>
          <w:rFonts w:ascii="方正仿宋简体" w:hAnsi="Times New Roman" w:eastAsia="方正仿宋简体"/>
          <w:szCs w:val="21"/>
        </w:rPr>
      </w:pPr>
      <w:r>
        <w:rPr>
          <w:rFonts w:hint="eastAsia" w:ascii="方正仿宋简体" w:hAnsi="Times New Roman" w:eastAsia="方正仿宋简体"/>
          <w:szCs w:val="21"/>
        </w:rPr>
        <w:t>3.产品净值可能存在未扣除管理人及投资合作机构业绩报酬、赎回费等费用（如有）的情况</w:t>
      </w:r>
      <w:r>
        <w:rPr>
          <w:rFonts w:ascii="方正仿宋简体" w:hAnsi="Times New Roman" w:eastAsia="方正仿宋简体"/>
          <w:szCs w:val="21"/>
        </w:rPr>
        <w:t>，</w:t>
      </w:r>
      <w:r>
        <w:rPr>
          <w:rFonts w:hint="eastAsia" w:ascii="方正仿宋简体" w:hAnsi="Times New Roman" w:eastAsia="方正仿宋简体"/>
          <w:szCs w:val="21"/>
        </w:rPr>
        <w:t>实际收益以兑付为准。</w:t>
      </w:r>
    </w:p>
    <w:p>
      <w:pPr>
        <w:jc w:val="left"/>
        <w:rPr>
          <w:rFonts w:ascii="方正仿宋简体" w:hAnsi="Times New Roman" w:eastAsia="方正仿宋简体"/>
          <w:szCs w:val="21"/>
        </w:rPr>
      </w:pPr>
    </w:p>
    <w:p>
      <w:pPr>
        <w:ind w:firstLine="420"/>
        <w:jc w:val="left"/>
        <w:rPr>
          <w:rFonts w:ascii="方正仿宋简体" w:hAnsi="Times New Roman" w:eastAsia="方正仿宋简体"/>
          <w:szCs w:val="21"/>
        </w:rPr>
      </w:pPr>
      <w:r>
        <w:rPr>
          <w:rFonts w:hint="eastAsia" w:ascii="方正仿宋简体" w:hAnsi="Times New Roman" w:eastAsia="方正仿宋简体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>
      <w:pPr>
        <w:ind w:firstLine="420"/>
        <w:jc w:val="left"/>
        <w:rPr>
          <w:rFonts w:ascii="方正仿宋简体" w:hAnsi="Times New Roman" w:eastAsia="方正仿宋简体"/>
          <w:szCs w:val="21"/>
        </w:rPr>
      </w:pPr>
      <w:r>
        <w:rPr>
          <w:rFonts w:hint="eastAsia" w:ascii="方正仿宋简体" w:hAnsi="Times New Roman" w:eastAsia="方正仿宋简体"/>
          <w:szCs w:val="21"/>
        </w:rPr>
        <w:t>特此公告。</w:t>
      </w:r>
    </w:p>
    <w:p>
      <w:pPr>
        <w:spacing w:after="93" w:line="360" w:lineRule="auto"/>
        <w:jc w:val="left"/>
        <w:rPr>
          <w:rFonts w:ascii="方正仿宋简体" w:hAnsi="Times New Roman" w:eastAsia="方正仿宋简体"/>
          <w:szCs w:val="21"/>
        </w:rPr>
      </w:pPr>
    </w:p>
    <w:p>
      <w:pPr>
        <w:spacing w:after="93" w:line="360" w:lineRule="auto"/>
        <w:ind w:firstLine="420" w:firstLineChars="200"/>
        <w:jc w:val="right"/>
        <w:rPr>
          <w:rFonts w:ascii="方正仿宋简体" w:hAnsi="Times New Roman" w:eastAsia="方正仿宋简体"/>
          <w:szCs w:val="21"/>
        </w:rPr>
      </w:pPr>
      <w:r>
        <w:rPr>
          <w:rFonts w:hint="eastAsia" w:ascii="方正仿宋简体" w:hAnsi="Times New Roman" w:eastAsia="方正仿宋简体"/>
          <w:szCs w:val="21"/>
        </w:rPr>
        <w:t>南银理财有限责任公司</w:t>
      </w:r>
    </w:p>
    <w:p>
      <w:pPr>
        <w:spacing w:after="93" w:line="360" w:lineRule="auto"/>
        <w:ind w:firstLine="420" w:firstLineChars="200"/>
        <w:jc w:val="right"/>
        <w:rPr>
          <w:rFonts w:ascii="方正仿宋简体" w:hAnsi="Times New Roman" w:eastAsia="方正仿宋简体"/>
          <w:szCs w:val="21"/>
        </w:rPr>
      </w:pPr>
      <w:r>
        <w:rPr>
          <w:rFonts w:hint="eastAsia" w:ascii="方正仿宋简体" w:hAnsi="Times New Roman" w:eastAsia="方正仿宋简体"/>
          <w:szCs w:val="21"/>
        </w:rPr>
        <w:t>2025年09月08日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644" w:bottom="1440" w:left="164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after="7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after="7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after="7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after="7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after="7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after="7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8">
    <w:name w:val="页脚 Char"/>
    <w:basedOn w:val="4"/>
    <w:link w:val="2"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10" Target="../customXml/item1.xml" Type="http://schemas.openxmlformats.org/officeDocument/2006/relationships/customXml"/><Relationship Id="rId11" Target="fontTable.xml" Type="http://schemas.openxmlformats.org/officeDocument/2006/relationships/fontTable"/><Relationship Id="rId2" Target="settings.xml" Type="http://schemas.openxmlformats.org/officeDocument/2006/relationships/settings"/><Relationship Id="rId3" Target="header1.xml" Type="http://schemas.openxmlformats.org/officeDocument/2006/relationships/header"/><Relationship Id="rId4" Target="header2.xml" Type="http://schemas.openxmlformats.org/officeDocument/2006/relationships/header"/><Relationship Id="rId5" Target="header3.xml" Type="http://schemas.openxmlformats.org/officeDocument/2006/relationships/header"/><Relationship Id="rId6" Target="footer1.xml" Type="http://schemas.openxmlformats.org/officeDocument/2006/relationships/footer"/><Relationship Id="rId7" Target="footer2.xml" Type="http://schemas.openxmlformats.org/officeDocument/2006/relationships/footer"/><Relationship Id="rId8" Target="footer3.xml" Type="http://schemas.openxmlformats.org/officeDocument/2006/relationships/footer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277</Words>
  <Characters>148</Characters>
  <Lines>1</Lines>
  <Paragraphs>1</Paragraphs>
  <TotalTime>0</TotalTime>
  <ScaleCrop>false</ScaleCrop>
  <LinksUpToDate>false</LinksUpToDate>
  <CharactersWithSpaces>424</CharactersWithSpaces>
  <Application>WPS Office_10.8.0.6058_F1E327BC-269C-435d-A152-05C5408002CA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兆尹科技</cp:lastModifiedBy>
  <dcterms:modified xsi:type="dcterms:W3CDTF">2023-07-19T06:33:07Z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