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南银理财鼎瑞悦稳（最低持有60天）2号公募人民币理财产品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南银理财鼎瑞悦稳（最低持有60天）2号公募人民币理财产品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Z7003224000254（投资者可依据该编码在中国理财网www.chinawealth.com.cn查询理财产品相关信息）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2024年11月06日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9,485,577,104.45份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中粮信托有限责任公司,华泰资产管理有限公司,国投泰康信托有限公司,紫金信托有限责任公司,陆家嘴国际信托有限公司,太平洋资产管理有限责任公司,江苏省国际信托有限责任公司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A32048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6,964,102,045.79</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1.036253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1.036253</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A32059</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2,864,209,047.12</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1.035836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1.035836</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7月雅江水电站项目开工，市场开始围绕“反内卷”开展交易，通缩逻辑动摇，权益及商品市场大涨；债市则在缺乏新的驱动力量的情况下，受股债跷跷板的影响行情走弱；公募基金受“费率新规”的影响负债端出现脉冲式赎回。央行连续超额续作MLF及买断式逆回购，重启14天逆回购，持续呵护货币市场，资金利率维持平稳。债市曲线走陡，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基于对后市的判断，产品将灵活调整杠杆与久期，实现产品净值在合理区间内保持相对稳定；同时加强市场与品种研判，在控制好风险的前提下博取超额收益。</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产品投资运作稳健，资产结构保持较高的流动性水平，平稳度过市场各关键时点。下阶段，产品将继续维持合理的流动性资产比例，做好负债端现金流的跟踪与研判，适度拉长杠杆融资期限，控制产品流动性风险。</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截至报告期末，本产品A32048份额净值为1.036253元，A32059份额净值为1.035836元。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99.18%</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0.82%</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2,530,739,470.04</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25.75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ZJQTT202306010001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中粮信托-鼎兴2号集合资金信托计划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1,504,018,185.16</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ZJQTT202308160001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中粮信托鼎兴4号集合资金信托计划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1,113,139,971.20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419,218,482.67</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4.27</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XJCKX202504280001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华夏银行南京分行活期存款</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373,749,461.39</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304,137,937.13</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ZJQTT202209050001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江苏信托鑫盈2号集合资金信托计划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282,832,472.06</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2.88</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112521240</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25渤海银行CD240</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197,546,400.00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032481603</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24黑牡丹PPN002</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130,150,670.00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ZJQTT202508040001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太平洋安盈十五号流动性资产管理产品</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0101080000001269</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南京银行南京分行南银理财鼎瑞悦稳最低持有60天2号</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产品投资于关联方承销的证券交易金额580,293,023.82元。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产品投资关联方作为管理人的资产管理产品交易金额1,915,000,000.00元。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产品支付关联方托管费291,547.89元，支付关联方代销费1,784.69元。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