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南银理财珠联璧合鑫逸稳一年227期封闭式公募人民币理财产品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南银理财珠联璧合鑫逸稳一年227期封闭式公募人民币理财产品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Z7003225000180（投资者可依据该编码在中国理财网www.chinawealth.com.cn查询理财产品相关信息）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2025年06月25日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1,461,046,831.00份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天津信托有限责任公司,紫金信托有限责任公司,鑫元基金管理有限公司,江苏省国际信托有限责任公司,中国对外经济贸易信托有限公司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700,976,687.80</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1.0031</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280,610,853.95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1.0033</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180,330,727.18</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1.0036</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1.0036</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Y33227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29,873,351.55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1.0039</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1.0039</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Y34227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63,133,830.11</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1.0031</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162,012,459.34</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1.0032</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1.0032</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Y36227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48,871,478.63</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1.0033</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市场围绕“反内卷”开展交易，通缩逻辑动摇，权益及商品市场大涨；债市则在缺乏新的驱动力量的情况下，受股债跷跷板的影响行情走弱；公募基金受“费率新规”的影响负债端出现脉冲式赎回。受此影响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的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截至报告期末，本产品Y30227份额净值为1.0031元，Y31227份额净值为1.0033元，Y32227份额净值为1.0036元，Y33227份额净值为1.0039元，Y34227份额净值为1.0031元，Y35227份额净值为1.0032元，Y36227份额净值为1.0033元。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XTDKX202507230022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532,387,305.50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36.32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301,810,610.57</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20.59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251,120,963.85</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17.13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XTDKX202507160004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天津信托-天实511号集合资金信托计划（第4期）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200,700,000.00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13.69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179,645,830.15</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12.26</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297</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天津信托-天实511号集合资金信托计划（第4期）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0101010000001569</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南银理财珠联璧合鑫逸稳一年227期</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产品支付关联方托管费0.00元，支付关联方代销费1,749.10元。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