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南银理财珠联璧合鑫逸稳两年123期封闭式公募人民币理财产品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2025年第3季度报告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南银理财珠联璧合鑫逸稳两年123期封闭式公募人民币理财产品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Z7003225000181（投资者可依据该编码在中国理财网www.chinawealth.com.cn查询理财产品相关信息）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2025年06月25日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210,564,586.00份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陆家嘴国际信托有限公司,中国对外经济贸易信托有限公司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报告期（2025年07月01日 - 2025年09月30日）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Y60123</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151,210,543.56</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Y61123</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54,121,651.67</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1.0070</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1.0070</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Y62123</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6,684,100.80</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1.0073</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1.0073</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三季度债市震荡调整。市场围绕“反内卷”开展交易，通缩逻辑动摇，权益及商品市场大涨；债市则在缺乏新的驱动力量的情况下，受股债跷跷板的影响行情走弱；公募基金受“费率新规”的影响负债端出现脉冲式赎回。受此影响长端利率冲击年内高点，截止9月30日，10年国债收益率从1.65%上行至1.86%。</w:t>
        <w:br w:type="textWrapping" w:clear="all"/>
      </w:r>
      <w:r>
        <w:rPr>
          <w:rFonts w:hint="eastAsia" w:ascii="方正仿宋简体" w:eastAsia="方正仿宋简体"/>
          <w:sz w:val="24"/>
          <w:szCs w:val="24"/>
        </w:rPr>
        <w:t>  展望四季度，当前的宏观环境对债市不构成利空。从基本面的角度来看，尽管2025年上半年的GDP同比增长5.3%，更多的来自于财政提前发力和抢出口的影响，但是需求端依然较为疲软，地产依然处于探底状态，政策对于地产的态度依然是托而不举，最新公布的社零、社融等数据依然较弱，内需依然面临较大的下行压力。货币政策方面，未来一段时间适度宽松的货币环境较为确定，美联储的降息也给国内的降准降息打开了空间。短期内因股市向好和机构负债端的压力导致的债市调整，给我们带来了较好的投资机会。</w:t>
        <w:br w:type="textWrapping" w:clear="all"/>
      </w:r>
      <w:r>
        <w:rPr>
          <w:rFonts w:hint="eastAsia" w:ascii="方正仿宋简体" w:eastAsia="方正仿宋简体"/>
          <w:sz w:val="24"/>
          <w:szCs w:val="24"/>
        </w:rPr>
        <w:t>  鑫逸稳两年期封闭式产品，今年三季度产品操作稳健偏防守。三季度债券市场走势震荡偏弱，利率债、信用债等波动幅度较二季度有所放大，虽然资金面整体仍维持宽松，隐形的资金下限未打破，反内卷引发走出通缩的交易预期、风险偏好的持续抬升也压制债券表现，各类品种收益率水平有不同程度上行。三季度产品运作过程中操作转向防守，阶段性降低了产品的杠杆及久期水平以更好的控制回撤。在上旬减持了部分性价比偏弱的个券降低仓位，调整过程中也通过置换部分持仓，提升组合静态。下一阶段，产品将继续围绕稳健回报的收益目标进行操作，审慎精选票息品种，久期根据对宏观基本面的判断灵活调整，及时做好市场走势的跟踪与研判，挖掘潜在投资机会。</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今年三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截至报告期末，本产品Y60123份额净值为1.0068元，Y61123份额净值为1.0070元，Y62123份额净值为1.0073元。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ZJQTT202506270001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陆家嘴信托-陆享20号集合资金信托计划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114,283,555.15</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53.90</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ZJQTT202302210001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外贸信托-鑫华优享2号证券投资集合资金信托计划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97,360,555.48</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45.92</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0101050000001572</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南银理财珠联璧合鑫逸稳两年123期</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产品支付关联方托管费0.00元，支付关联方代销费119.70元。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2025年09月30日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