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BB794" w14:textId="77777777" w:rsidR="00476AF5" w:rsidRDefault="00F43115">
      <w:pPr>
        <w:spacing w:line="320" w:lineRule="exact"/>
        <w:jc w:val="center"/>
        <w:rPr>
          <w:rFonts w:ascii="微软雅黑" w:eastAsia="微软雅黑" w:hAnsi="微软雅黑"/>
          <w:b/>
          <w:sz w:val="28"/>
          <w:szCs w:val="28"/>
        </w:rPr>
      </w:pPr>
      <w:proofErr w:type="gramStart"/>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w:t>
      </w:r>
      <w:proofErr w:type="gramEnd"/>
      <w:r>
        <w:rPr>
          <w:rFonts w:ascii="微软雅黑" w:eastAsia="微软雅黑" w:hAnsi="微软雅黑" w:hint="eastAsia"/>
          <w:b/>
          <w:sz w:val="28"/>
          <w:szCs w:val="28"/>
        </w:rPr>
        <w:t>第</w:t>
      </w:r>
      <w:r>
        <w:rPr>
          <w:rFonts w:ascii="微软雅黑" w:eastAsia="微软雅黑" w:hAnsi="微软雅黑" w:hint="eastAsia"/>
          <w:b/>
          <w:sz w:val="28"/>
          <w:szCs w:val="28"/>
        </w:rPr>
        <w:t>2</w:t>
      </w:r>
      <w:r>
        <w:rPr>
          <w:rFonts w:ascii="微软雅黑" w:eastAsia="微软雅黑" w:hAnsi="微软雅黑" w:hint="eastAsia"/>
          <w:b/>
          <w:sz w:val="28"/>
          <w:szCs w:val="28"/>
        </w:rPr>
        <w:t>37</w:t>
      </w:r>
      <w:r>
        <w:rPr>
          <w:rFonts w:ascii="微软雅黑" w:eastAsia="微软雅黑" w:hAnsi="微软雅黑" w:hint="eastAsia"/>
          <w:b/>
          <w:sz w:val="28"/>
          <w:szCs w:val="28"/>
        </w:rPr>
        <w:t>期理财产品说明书</w:t>
      </w:r>
    </w:p>
    <w:p w14:paraId="780E7BC8" w14:textId="77777777" w:rsidR="00476AF5" w:rsidRDefault="00476AF5">
      <w:pPr>
        <w:spacing w:line="320" w:lineRule="exact"/>
        <w:rPr>
          <w:rFonts w:ascii="微软雅黑" w:eastAsia="微软雅黑" w:hAnsi="微软雅黑"/>
          <w:szCs w:val="21"/>
        </w:rPr>
      </w:pPr>
    </w:p>
    <w:p w14:paraId="5EAFB1BF" w14:textId="77777777" w:rsidR="00476AF5" w:rsidRDefault="00F43115">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476AF5" w14:paraId="36B3278E" w14:textId="77777777">
        <w:trPr>
          <w:jc w:val="center"/>
        </w:trPr>
        <w:tc>
          <w:tcPr>
            <w:tcW w:w="2014" w:type="dxa"/>
          </w:tcPr>
          <w:p w14:paraId="1542E39A" w14:textId="77777777" w:rsidR="00476AF5" w:rsidRDefault="00F43115">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14:paraId="42223E0C" w14:textId="77777777" w:rsidR="00476AF5" w:rsidRDefault="00F43115">
            <w:pPr>
              <w:spacing w:line="320" w:lineRule="exact"/>
              <w:rPr>
                <w:rFonts w:ascii="微软雅黑" w:eastAsia="微软雅黑" w:hAnsi="微软雅黑"/>
                <w:b/>
                <w:szCs w:val="21"/>
              </w:rPr>
            </w:pPr>
            <w:proofErr w:type="gramStart"/>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w:t>
            </w:r>
            <w:r>
              <w:rPr>
                <w:rFonts w:ascii="微软雅黑" w:eastAsia="微软雅黑" w:hAnsi="微软雅黑" w:hint="eastAsia"/>
                <w:szCs w:val="21"/>
              </w:rPr>
              <w:t>37</w:t>
            </w:r>
            <w:r>
              <w:rPr>
                <w:rFonts w:ascii="微软雅黑" w:eastAsia="微软雅黑" w:hAnsi="微软雅黑" w:hint="eastAsia"/>
                <w:szCs w:val="21"/>
              </w:rPr>
              <w:t>期理财产品</w:t>
            </w:r>
          </w:p>
        </w:tc>
      </w:tr>
      <w:tr w:rsidR="00476AF5" w14:paraId="67C28406" w14:textId="77777777">
        <w:trPr>
          <w:jc w:val="center"/>
        </w:trPr>
        <w:tc>
          <w:tcPr>
            <w:tcW w:w="2014" w:type="dxa"/>
          </w:tcPr>
          <w:p w14:paraId="12013A38"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14:paraId="542342B2" w14:textId="77777777" w:rsidR="00476AF5" w:rsidRDefault="00F43115">
            <w:pPr>
              <w:spacing w:line="320" w:lineRule="exact"/>
              <w:rPr>
                <w:rFonts w:ascii="微软雅黑" w:eastAsia="微软雅黑" w:hAnsi="微软雅黑"/>
                <w:szCs w:val="21"/>
              </w:rPr>
            </w:pPr>
            <w:proofErr w:type="gramStart"/>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w:t>
            </w:r>
            <w:r>
              <w:rPr>
                <w:rFonts w:ascii="微软雅黑" w:eastAsia="微软雅黑" w:hAnsi="微软雅黑" w:hint="eastAsia"/>
                <w:szCs w:val="21"/>
              </w:rPr>
              <w:t>37</w:t>
            </w:r>
            <w:r>
              <w:rPr>
                <w:rFonts w:ascii="微软雅黑" w:eastAsia="微软雅黑" w:hAnsi="微软雅黑" w:hint="eastAsia"/>
                <w:szCs w:val="21"/>
              </w:rPr>
              <w:t>期</w:t>
            </w:r>
          </w:p>
        </w:tc>
      </w:tr>
      <w:tr w:rsidR="00476AF5" w14:paraId="62B43FA6" w14:textId="77777777">
        <w:trPr>
          <w:jc w:val="center"/>
        </w:trPr>
        <w:tc>
          <w:tcPr>
            <w:tcW w:w="2014" w:type="dxa"/>
          </w:tcPr>
          <w:p w14:paraId="2C4FC075"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14:paraId="0A972006"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RY10237</w:t>
            </w:r>
          </w:p>
        </w:tc>
      </w:tr>
      <w:tr w:rsidR="00476AF5" w14:paraId="13ED4660" w14:textId="77777777">
        <w:trPr>
          <w:jc w:val="center"/>
        </w:trPr>
        <w:tc>
          <w:tcPr>
            <w:tcW w:w="2014" w:type="dxa"/>
            <w:vAlign w:val="center"/>
          </w:tcPr>
          <w:p w14:paraId="37FAA95C"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14:paraId="263FF109"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C10829220000</w:t>
            </w:r>
            <w:r>
              <w:rPr>
                <w:rFonts w:ascii="微软雅黑" w:eastAsia="微软雅黑" w:hAnsi="微软雅黑" w:hint="eastAsia"/>
                <w:szCs w:val="21"/>
              </w:rPr>
              <w:t>52</w:t>
            </w:r>
          </w:p>
          <w:p w14:paraId="7E0EAC19"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476AF5" w14:paraId="2FB033ED" w14:textId="77777777">
        <w:trPr>
          <w:trHeight w:val="260"/>
          <w:jc w:val="center"/>
        </w:trPr>
        <w:tc>
          <w:tcPr>
            <w:tcW w:w="2014" w:type="dxa"/>
          </w:tcPr>
          <w:p w14:paraId="10B19E21" w14:textId="77777777" w:rsidR="00476AF5" w:rsidRDefault="00F43115">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14:paraId="090C15E2"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476AF5" w14:paraId="477B7C24" w14:textId="77777777">
        <w:trPr>
          <w:jc w:val="center"/>
        </w:trPr>
        <w:tc>
          <w:tcPr>
            <w:tcW w:w="2014" w:type="dxa"/>
          </w:tcPr>
          <w:p w14:paraId="15C4E71D" w14:textId="77777777" w:rsidR="00476AF5" w:rsidRDefault="00F43115">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14:paraId="3DE2F91C"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476AF5" w14:paraId="5B79BB7A" w14:textId="77777777">
        <w:trPr>
          <w:jc w:val="center"/>
        </w:trPr>
        <w:tc>
          <w:tcPr>
            <w:tcW w:w="2014" w:type="dxa"/>
          </w:tcPr>
          <w:p w14:paraId="67564A2A"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14:paraId="74682C55"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476AF5" w14:paraId="1845B164" w14:textId="77777777">
        <w:trPr>
          <w:jc w:val="center"/>
        </w:trPr>
        <w:tc>
          <w:tcPr>
            <w:tcW w:w="2014" w:type="dxa"/>
          </w:tcPr>
          <w:p w14:paraId="681A283C"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14:paraId="4E867BBC"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476AF5" w14:paraId="0FFE7326" w14:textId="77777777">
        <w:trPr>
          <w:jc w:val="center"/>
        </w:trPr>
        <w:tc>
          <w:tcPr>
            <w:tcW w:w="2014" w:type="dxa"/>
          </w:tcPr>
          <w:p w14:paraId="44B317DA"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14:paraId="25A6EDD3"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476AF5" w14:paraId="22EFA0F1" w14:textId="77777777">
        <w:trPr>
          <w:jc w:val="center"/>
        </w:trPr>
        <w:tc>
          <w:tcPr>
            <w:tcW w:w="2014" w:type="dxa"/>
          </w:tcPr>
          <w:p w14:paraId="2F9434D3"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14:paraId="63BB4915" w14:textId="77777777" w:rsidR="00476AF5" w:rsidRDefault="00F43115">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w:t>
            </w:r>
            <w:proofErr w:type="gramStart"/>
            <w:r>
              <w:rPr>
                <w:rFonts w:ascii="微软雅黑" w:eastAsia="微软雅黑" w:hAnsi="微软雅黑" w:hint="eastAsia"/>
                <w:szCs w:val="21"/>
              </w:rPr>
              <w:t>本风险</w:t>
            </w:r>
            <w:proofErr w:type="gramEnd"/>
            <w:r>
              <w:rPr>
                <w:rFonts w:ascii="微软雅黑" w:eastAsia="微软雅黑" w:hAnsi="微软雅黑" w:hint="eastAsia"/>
                <w:szCs w:val="21"/>
              </w:rPr>
              <w:t>评级为珠海华润银行内部测评结果，仅供客户参考）</w:t>
            </w:r>
          </w:p>
        </w:tc>
      </w:tr>
      <w:tr w:rsidR="00476AF5" w14:paraId="58879EFE" w14:textId="77777777">
        <w:trPr>
          <w:jc w:val="center"/>
        </w:trPr>
        <w:tc>
          <w:tcPr>
            <w:tcW w:w="2014" w:type="dxa"/>
          </w:tcPr>
          <w:p w14:paraId="5DFE101F"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14:paraId="76BD558B"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476AF5" w14:paraId="55FDB2A8" w14:textId="77777777">
        <w:trPr>
          <w:jc w:val="center"/>
        </w:trPr>
        <w:tc>
          <w:tcPr>
            <w:tcW w:w="2014" w:type="dxa"/>
          </w:tcPr>
          <w:p w14:paraId="65EB6CE2"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14:paraId="13BD088D"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476AF5" w14:paraId="2B16B1DB" w14:textId="77777777">
        <w:trPr>
          <w:jc w:val="center"/>
        </w:trPr>
        <w:tc>
          <w:tcPr>
            <w:tcW w:w="2014" w:type="dxa"/>
          </w:tcPr>
          <w:p w14:paraId="00BBC208"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14:paraId="3E0F6F12"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6000</w:t>
            </w:r>
            <w:r>
              <w:rPr>
                <w:rFonts w:ascii="微软雅黑" w:eastAsia="微软雅黑" w:hAnsi="微软雅黑" w:hint="eastAsia"/>
                <w:szCs w:val="21"/>
              </w:rPr>
              <w:t>万</w:t>
            </w:r>
            <w:r>
              <w:rPr>
                <w:rFonts w:ascii="微软雅黑" w:eastAsia="微软雅黑" w:hAnsi="微软雅黑"/>
                <w:szCs w:val="21"/>
              </w:rPr>
              <w:t>元。</w:t>
            </w:r>
          </w:p>
          <w:p w14:paraId="7124C7ED"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476AF5" w14:paraId="44702433" w14:textId="77777777">
        <w:trPr>
          <w:jc w:val="center"/>
        </w:trPr>
        <w:tc>
          <w:tcPr>
            <w:tcW w:w="2014" w:type="dxa"/>
          </w:tcPr>
          <w:p w14:paraId="20B1E19F"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14:paraId="63295A0A"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9</w:t>
            </w:r>
            <w:r>
              <w:rPr>
                <w:rFonts w:ascii="微软雅黑" w:eastAsia="微软雅黑" w:hAnsi="微软雅黑" w:hint="eastAsia"/>
                <w:szCs w:val="21"/>
                <w:u w:val="single"/>
              </w:rPr>
              <w:t>月</w:t>
            </w:r>
            <w:r>
              <w:rPr>
                <w:rFonts w:ascii="微软雅黑" w:eastAsia="微软雅黑" w:hAnsi="微软雅黑" w:hint="eastAsia"/>
                <w:szCs w:val="21"/>
                <w:u w:val="single"/>
              </w:rPr>
              <w:t>7</w:t>
            </w:r>
            <w:r>
              <w:rPr>
                <w:rFonts w:ascii="微软雅黑" w:eastAsia="微软雅黑" w:hAnsi="微软雅黑" w:hint="eastAsia"/>
                <w:szCs w:val="21"/>
                <w:u w:val="single"/>
              </w:rPr>
              <w:t>日</w:t>
            </w:r>
          </w:p>
        </w:tc>
      </w:tr>
      <w:tr w:rsidR="00476AF5" w14:paraId="166E5FE1" w14:textId="77777777">
        <w:trPr>
          <w:jc w:val="center"/>
        </w:trPr>
        <w:tc>
          <w:tcPr>
            <w:tcW w:w="2014" w:type="dxa"/>
          </w:tcPr>
          <w:p w14:paraId="1D2987F4"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14:paraId="5D5163CC"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12</w:t>
            </w:r>
            <w:r>
              <w:rPr>
                <w:rFonts w:ascii="微软雅黑" w:eastAsia="微软雅黑" w:hAnsi="微软雅黑" w:hint="eastAsia"/>
                <w:szCs w:val="21"/>
                <w:u w:val="single"/>
              </w:rPr>
              <w:t>月</w:t>
            </w:r>
            <w:r>
              <w:rPr>
                <w:rFonts w:ascii="微软雅黑" w:eastAsia="微软雅黑" w:hAnsi="微软雅黑" w:hint="eastAsia"/>
                <w:szCs w:val="21"/>
                <w:u w:val="single"/>
              </w:rPr>
              <w:t>14</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476AF5" w14:paraId="6EB32A08" w14:textId="77777777">
        <w:trPr>
          <w:jc w:val="center"/>
        </w:trPr>
        <w:tc>
          <w:tcPr>
            <w:tcW w:w="2014" w:type="dxa"/>
          </w:tcPr>
          <w:p w14:paraId="2360FB41"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14:paraId="5A93AF26" w14:textId="77777777" w:rsidR="00476AF5" w:rsidRDefault="00F43115">
            <w:pPr>
              <w:spacing w:line="320" w:lineRule="exact"/>
              <w:rPr>
                <w:rFonts w:ascii="微软雅黑" w:eastAsia="微软雅黑" w:hAnsi="微软雅黑"/>
                <w:szCs w:val="21"/>
                <w:u w:val="single"/>
              </w:rPr>
            </w:pPr>
            <w:r>
              <w:rPr>
                <w:rFonts w:ascii="微软雅黑" w:eastAsia="微软雅黑" w:hAnsi="微软雅黑" w:hint="eastAsia"/>
                <w:szCs w:val="21"/>
              </w:rPr>
              <w:t>98</w:t>
            </w:r>
            <w:r>
              <w:rPr>
                <w:rFonts w:ascii="微软雅黑" w:eastAsia="微软雅黑" w:hAnsi="微软雅黑" w:hint="eastAsia"/>
                <w:szCs w:val="21"/>
              </w:rPr>
              <w:t>天。实际产品期限受制于银行提前终止及产品到期条款，珠海华润银行可根据情况进行调整。</w:t>
            </w:r>
          </w:p>
        </w:tc>
      </w:tr>
      <w:tr w:rsidR="00476AF5" w14:paraId="62F21B62" w14:textId="77777777">
        <w:trPr>
          <w:jc w:val="center"/>
        </w:trPr>
        <w:tc>
          <w:tcPr>
            <w:tcW w:w="2014" w:type="dxa"/>
          </w:tcPr>
          <w:p w14:paraId="6A605DF4"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14:paraId="0E014CF5"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w:t>
            </w:r>
          </w:p>
        </w:tc>
      </w:tr>
      <w:tr w:rsidR="00476AF5" w14:paraId="0D83DC94" w14:textId="77777777">
        <w:trPr>
          <w:jc w:val="center"/>
        </w:trPr>
        <w:tc>
          <w:tcPr>
            <w:tcW w:w="2014" w:type="dxa"/>
          </w:tcPr>
          <w:p w14:paraId="7D116A45" w14:textId="77777777" w:rsidR="00476AF5" w:rsidRDefault="00F43115">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14:paraId="2026D9F2" w14:textId="77777777" w:rsidR="00476AF5" w:rsidRDefault="00F43115">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1</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r>
              <w:rPr>
                <w:rFonts w:ascii="微软雅黑" w:eastAsia="微软雅黑" w:hAnsi="微软雅黑" w:hint="eastAsia"/>
                <w:szCs w:val="21"/>
              </w:rPr>
              <w:t>原则上单一客户购买累计金额不超过</w:t>
            </w:r>
            <w:r>
              <w:rPr>
                <w:rFonts w:ascii="微软雅黑" w:eastAsia="微软雅黑" w:hAnsi="微软雅黑" w:hint="eastAsia"/>
                <w:szCs w:val="21"/>
              </w:rPr>
              <w:t>100</w:t>
            </w:r>
            <w:r>
              <w:rPr>
                <w:rFonts w:ascii="微软雅黑" w:eastAsia="微软雅黑" w:hAnsi="微软雅黑" w:hint="eastAsia"/>
                <w:szCs w:val="21"/>
              </w:rPr>
              <w:t>万元。</w:t>
            </w:r>
          </w:p>
        </w:tc>
      </w:tr>
      <w:tr w:rsidR="00476AF5" w14:paraId="003E055B" w14:textId="77777777">
        <w:trPr>
          <w:jc w:val="center"/>
        </w:trPr>
        <w:tc>
          <w:tcPr>
            <w:tcW w:w="2014" w:type="dxa"/>
          </w:tcPr>
          <w:p w14:paraId="16B1CE12"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14:paraId="3E3B33C6"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476AF5" w14:paraId="2F349C2C" w14:textId="77777777">
        <w:trPr>
          <w:jc w:val="center"/>
        </w:trPr>
        <w:tc>
          <w:tcPr>
            <w:tcW w:w="2014" w:type="dxa"/>
          </w:tcPr>
          <w:p w14:paraId="6660200A"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认购期</w:t>
            </w:r>
          </w:p>
          <w:p w14:paraId="10BA1161" w14:textId="77777777" w:rsidR="00476AF5" w:rsidRDefault="00476AF5">
            <w:pPr>
              <w:spacing w:line="320" w:lineRule="exact"/>
              <w:rPr>
                <w:rFonts w:ascii="微软雅黑" w:eastAsia="微软雅黑" w:hAnsi="微软雅黑"/>
                <w:b/>
                <w:szCs w:val="21"/>
              </w:rPr>
            </w:pPr>
          </w:p>
        </w:tc>
        <w:tc>
          <w:tcPr>
            <w:tcW w:w="7200" w:type="dxa"/>
          </w:tcPr>
          <w:p w14:paraId="4D396DC2" w14:textId="77777777" w:rsidR="00476AF5" w:rsidRDefault="00F43115">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8</w:t>
            </w:r>
            <w:r>
              <w:rPr>
                <w:rFonts w:ascii="微软雅黑" w:eastAsia="微软雅黑" w:hAnsi="微软雅黑" w:hint="eastAsia"/>
                <w:szCs w:val="21"/>
              </w:rPr>
              <w:t>月</w:t>
            </w:r>
            <w:r>
              <w:rPr>
                <w:rFonts w:ascii="微软雅黑" w:eastAsia="微软雅黑" w:hAnsi="微软雅黑" w:hint="eastAsia"/>
                <w:szCs w:val="21"/>
              </w:rPr>
              <w:t>31</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9</w:t>
            </w:r>
            <w:r>
              <w:rPr>
                <w:rFonts w:ascii="微软雅黑" w:eastAsia="微软雅黑" w:hAnsi="微软雅黑" w:hint="eastAsia"/>
                <w:szCs w:val="21"/>
              </w:rPr>
              <w:t>月</w:t>
            </w:r>
            <w:r>
              <w:rPr>
                <w:rFonts w:ascii="微软雅黑" w:eastAsia="微软雅黑" w:hAnsi="微软雅黑" w:hint="eastAsia"/>
                <w:szCs w:val="21"/>
              </w:rPr>
              <w:t>6</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476AF5" w14:paraId="6609AC06" w14:textId="77777777">
        <w:trPr>
          <w:jc w:val="center"/>
        </w:trPr>
        <w:tc>
          <w:tcPr>
            <w:tcW w:w="2014" w:type="dxa"/>
          </w:tcPr>
          <w:p w14:paraId="1057FEA8"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14:paraId="1AD12F20"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476AF5" w14:paraId="6713CC43" w14:textId="77777777">
        <w:trPr>
          <w:jc w:val="center"/>
        </w:trPr>
        <w:tc>
          <w:tcPr>
            <w:tcW w:w="2014" w:type="dxa"/>
          </w:tcPr>
          <w:p w14:paraId="1C19545F" w14:textId="77777777" w:rsidR="00476AF5" w:rsidRDefault="00F43115">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14:paraId="12C69376" w14:textId="77777777" w:rsidR="00476AF5" w:rsidRDefault="00F43115">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w:t>
            </w:r>
            <w:proofErr w:type="gramStart"/>
            <w:r>
              <w:rPr>
                <w:rFonts w:ascii="微软雅黑" w:eastAsia="微软雅黑" w:hAnsi="微软雅黑" w:hint="eastAsia"/>
                <w:szCs w:val="21"/>
              </w:rPr>
              <w:t>清算期逢节假日</w:t>
            </w:r>
            <w:proofErr w:type="gramEnd"/>
            <w:r>
              <w:rPr>
                <w:rFonts w:ascii="微软雅黑" w:eastAsia="微软雅黑" w:hAnsi="微软雅黑" w:hint="eastAsia"/>
                <w:szCs w:val="21"/>
              </w:rPr>
              <w:t>顺延。</w:t>
            </w:r>
          </w:p>
        </w:tc>
      </w:tr>
      <w:tr w:rsidR="00476AF5" w14:paraId="6305223A" w14:textId="77777777">
        <w:trPr>
          <w:jc w:val="center"/>
        </w:trPr>
        <w:tc>
          <w:tcPr>
            <w:tcW w:w="2014" w:type="dxa"/>
          </w:tcPr>
          <w:p w14:paraId="7D902198"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14:paraId="1D65BCB5"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476AF5" w14:paraId="4B3A77DD" w14:textId="77777777">
        <w:trPr>
          <w:trHeight w:val="322"/>
          <w:jc w:val="center"/>
        </w:trPr>
        <w:tc>
          <w:tcPr>
            <w:tcW w:w="2014" w:type="dxa"/>
          </w:tcPr>
          <w:p w14:paraId="56FEE6EE"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14:paraId="0BEE2CD4" w14:textId="77777777" w:rsidR="00476AF5" w:rsidRDefault="00F43115">
            <w:pPr>
              <w:spacing w:line="320" w:lineRule="exact"/>
              <w:rPr>
                <w:rFonts w:ascii="微软雅黑" w:eastAsia="微软雅黑" w:hAnsi="微软雅黑"/>
                <w:szCs w:val="21"/>
              </w:rPr>
            </w:pPr>
            <w:r>
              <w:rPr>
                <w:rFonts w:ascii="微软雅黑" w:eastAsia="微软雅黑" w:hAnsi="微软雅黑" w:cs="Arial" w:hint="eastAsia"/>
                <w:bCs/>
                <w:szCs w:val="21"/>
              </w:rPr>
              <w:t>宁波</w:t>
            </w:r>
            <w:r>
              <w:rPr>
                <w:rFonts w:ascii="微软雅黑" w:eastAsia="微软雅黑" w:hAnsi="微软雅黑" w:hint="eastAsia"/>
                <w:szCs w:val="21"/>
              </w:rPr>
              <w:t>银行股份有限公司</w:t>
            </w:r>
          </w:p>
        </w:tc>
      </w:tr>
      <w:tr w:rsidR="00476AF5" w14:paraId="58F1F72B" w14:textId="77777777">
        <w:trPr>
          <w:jc w:val="center"/>
        </w:trPr>
        <w:tc>
          <w:tcPr>
            <w:tcW w:w="2014" w:type="dxa"/>
          </w:tcPr>
          <w:p w14:paraId="1D1531A1"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14:paraId="511DA6E2" w14:textId="77777777" w:rsidR="00476AF5" w:rsidRDefault="00F43115">
            <w:pPr>
              <w:spacing w:line="320" w:lineRule="exact"/>
              <w:rPr>
                <w:rFonts w:ascii="微软雅黑" w:eastAsia="微软雅黑" w:hAnsi="微软雅黑"/>
                <w:b/>
                <w:bCs/>
                <w:szCs w:val="21"/>
              </w:rPr>
            </w:pPr>
            <w:r>
              <w:rPr>
                <w:rFonts w:ascii="微软雅黑" w:eastAsia="微软雅黑" w:hAnsi="微软雅黑" w:hint="eastAsia"/>
                <w:szCs w:val="21"/>
              </w:rPr>
              <w:t>[3.40%,3.70%]</w:t>
            </w:r>
            <w:r>
              <w:rPr>
                <w:rFonts w:ascii="微软雅黑" w:eastAsia="微软雅黑" w:hAnsi="微软雅黑" w:hint="eastAsia"/>
                <w:szCs w:val="21"/>
              </w:rPr>
              <w:t>（年化）。</w:t>
            </w:r>
            <w:proofErr w:type="gramStart"/>
            <w:r>
              <w:rPr>
                <w:rFonts w:ascii="微软雅黑" w:eastAsia="微软雅黑" w:hAnsi="微软雅黑" w:hint="eastAsia"/>
                <w:szCs w:val="21"/>
              </w:rPr>
              <w:t>该</w:t>
            </w:r>
            <w:r>
              <w:rPr>
                <w:rFonts w:ascii="微软雅黑" w:eastAsia="微软雅黑" w:hAnsi="微软雅黑" w:hint="eastAsia"/>
                <w:szCs w:val="21"/>
              </w:rPr>
              <w:t>业绩</w:t>
            </w:r>
            <w:proofErr w:type="gramEnd"/>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w:t>
            </w:r>
            <w:r>
              <w:rPr>
                <w:rFonts w:ascii="微软雅黑" w:eastAsia="微软雅黑" w:hAnsi="微软雅黑" w:hint="eastAsia"/>
                <w:b/>
                <w:bCs/>
                <w:szCs w:val="21"/>
              </w:rPr>
              <w:t>不代</w:t>
            </w:r>
            <w:r>
              <w:rPr>
                <w:rFonts w:ascii="微软雅黑" w:eastAsia="微软雅黑" w:hAnsi="微软雅黑" w:hint="eastAsia"/>
                <w:b/>
                <w:bCs/>
                <w:szCs w:val="21"/>
              </w:rPr>
              <w:t>本理财</w:t>
            </w:r>
            <w:r>
              <w:rPr>
                <w:rFonts w:ascii="微软雅黑" w:eastAsia="微软雅黑" w:hAnsi="微软雅黑" w:hint="eastAsia"/>
                <w:b/>
                <w:bCs/>
                <w:szCs w:val="21"/>
              </w:rPr>
              <w:t>产品的未来表现和实际收益，不构成对</w:t>
            </w:r>
            <w:r>
              <w:rPr>
                <w:rFonts w:ascii="微软雅黑" w:eastAsia="微软雅黑" w:hAnsi="微软雅黑" w:hint="eastAsia"/>
                <w:b/>
                <w:bCs/>
                <w:szCs w:val="21"/>
              </w:rPr>
              <w:t>理财</w:t>
            </w:r>
            <w:r>
              <w:rPr>
                <w:rFonts w:ascii="微软雅黑" w:eastAsia="微软雅黑" w:hAnsi="微软雅黑" w:hint="eastAsia"/>
                <w:b/>
                <w:bCs/>
                <w:szCs w:val="21"/>
              </w:rPr>
              <w:t>产品收益的承诺，仅作为计算浮动管理费的依据。</w:t>
            </w:r>
          </w:p>
          <w:p w14:paraId="79980B2F"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投资者不应将业绩比较基准作为持有本理财产品份额到期的综合投资收益参考值，投资须谨慎。</w:t>
            </w:r>
          </w:p>
        </w:tc>
      </w:tr>
      <w:tr w:rsidR="00476AF5" w14:paraId="5F5C215F" w14:textId="77777777">
        <w:trPr>
          <w:jc w:val="center"/>
        </w:trPr>
        <w:tc>
          <w:tcPr>
            <w:tcW w:w="2014" w:type="dxa"/>
          </w:tcPr>
          <w:p w14:paraId="55A41871"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14:paraId="134A8F81" w14:textId="77777777" w:rsidR="00476AF5" w:rsidRDefault="00F43115">
            <w:pPr>
              <w:spacing w:line="320" w:lineRule="exact"/>
              <w:rPr>
                <w:rFonts w:ascii="微软雅黑" w:eastAsia="微软雅黑" w:hAnsi="微软雅黑"/>
                <w:szCs w:val="21"/>
              </w:rPr>
            </w:pPr>
            <w:bookmarkStart w:id="0" w:name="OLE_LINK2"/>
            <w:r>
              <w:rPr>
                <w:rFonts w:ascii="微软雅黑" w:eastAsia="微软雅黑" w:hAnsi="微软雅黑" w:hint="eastAsia"/>
                <w:szCs w:val="21"/>
              </w:rPr>
              <w:t>一、固定费用</w:t>
            </w:r>
          </w:p>
          <w:p w14:paraId="2E700348"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14:paraId="1A3ABC92"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14:paraId="5A60F797"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20</w:t>
            </w:r>
            <w:r>
              <w:rPr>
                <w:rFonts w:ascii="微软雅黑" w:eastAsia="微软雅黑" w:hAnsi="微软雅黑" w:hint="eastAsia"/>
                <w:szCs w:val="21"/>
              </w:rPr>
              <w:t>%/</w:t>
            </w:r>
            <w:r>
              <w:rPr>
                <w:rFonts w:ascii="微软雅黑" w:eastAsia="微软雅黑" w:hAnsi="微软雅黑" w:hint="eastAsia"/>
                <w:szCs w:val="21"/>
              </w:rPr>
              <w:t>年；</w:t>
            </w:r>
          </w:p>
          <w:p w14:paraId="550751CB"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14:paraId="14D9AED7"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14:paraId="7E153CA0"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r>
              <w:rPr>
                <w:rFonts w:ascii="微软雅黑" w:eastAsia="微软雅黑" w:hAnsi="微软雅黑" w:hint="eastAsia"/>
                <w:szCs w:val="21"/>
              </w:rPr>
              <w:t>：</w:t>
            </w: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14:paraId="0FC3D41E"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14:paraId="66AD3E77"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w:t>
            </w:r>
            <w:r>
              <w:rPr>
                <w:rFonts w:ascii="微软雅黑" w:eastAsia="微软雅黑" w:hAnsi="微软雅黑" w:hint="eastAsia"/>
                <w:szCs w:val="21"/>
              </w:rPr>
              <w:t>上限</w:t>
            </w:r>
            <w:r>
              <w:rPr>
                <w:rFonts w:ascii="微软雅黑" w:eastAsia="微软雅黑" w:hAnsi="微软雅黑" w:hint="eastAsia"/>
                <w:szCs w:val="21"/>
              </w:rPr>
              <w:t>（含），管理人不收取浮动投资管理费；若投资收益超过业绩比较基准</w:t>
            </w:r>
            <w:r>
              <w:rPr>
                <w:rFonts w:ascii="微软雅黑" w:eastAsia="微软雅黑" w:hAnsi="微软雅黑" w:hint="eastAsia"/>
                <w:szCs w:val="21"/>
              </w:rPr>
              <w:t>上限</w:t>
            </w:r>
            <w:r>
              <w:rPr>
                <w:rFonts w:ascii="微软雅黑" w:eastAsia="微软雅黑" w:hAnsi="微软雅黑" w:hint="eastAsia"/>
                <w:szCs w:val="21"/>
              </w:rPr>
              <w:t>，超过部分作</w:t>
            </w:r>
            <w:r>
              <w:rPr>
                <w:rFonts w:ascii="微软雅黑" w:eastAsia="微软雅黑" w:hAnsi="微软雅黑" w:hint="eastAsia"/>
                <w:szCs w:val="21"/>
              </w:rPr>
              <w:t>为管理人的浮动投资管理费。计提频率为产品每一估值日。</w:t>
            </w:r>
          </w:p>
          <w:p w14:paraId="1F424495" w14:textId="77777777" w:rsidR="00476AF5" w:rsidRDefault="00476AF5"/>
          <w:p w14:paraId="4C4DCA71"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bookmarkEnd w:id="0"/>
          </w:p>
        </w:tc>
      </w:tr>
      <w:tr w:rsidR="00476AF5" w14:paraId="1B8C6874" w14:textId="77777777">
        <w:trPr>
          <w:jc w:val="center"/>
        </w:trPr>
        <w:tc>
          <w:tcPr>
            <w:tcW w:w="2014" w:type="dxa"/>
          </w:tcPr>
          <w:p w14:paraId="6C792EEC" w14:textId="77777777" w:rsidR="00476AF5" w:rsidRDefault="00F43115">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14:paraId="000A05C8"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476AF5" w14:paraId="5078EDD6" w14:textId="77777777">
        <w:trPr>
          <w:jc w:val="center"/>
        </w:trPr>
        <w:tc>
          <w:tcPr>
            <w:tcW w:w="2014" w:type="dxa"/>
          </w:tcPr>
          <w:p w14:paraId="748FF6B7" w14:textId="77777777" w:rsidR="00476AF5" w:rsidRDefault="00F43115">
            <w:pPr>
              <w:spacing w:line="320" w:lineRule="exact"/>
              <w:rPr>
                <w:rFonts w:ascii="微软雅黑" w:eastAsia="微软雅黑" w:hAnsi="微软雅黑"/>
                <w:b/>
                <w:szCs w:val="21"/>
              </w:rPr>
            </w:pPr>
            <w:r>
              <w:rPr>
                <w:rFonts w:ascii="微软雅黑" w:eastAsia="微软雅黑" w:hAnsi="微软雅黑" w:hint="eastAsia"/>
                <w:szCs w:val="21"/>
              </w:rPr>
              <w:t>工作日</w:t>
            </w:r>
            <w:r>
              <w:rPr>
                <w:rFonts w:ascii="微软雅黑" w:eastAsia="微软雅黑" w:hAnsi="微软雅黑" w:hint="eastAsia"/>
                <w:szCs w:val="21"/>
              </w:rPr>
              <w:t xml:space="preserve"> </w:t>
            </w:r>
          </w:p>
        </w:tc>
        <w:tc>
          <w:tcPr>
            <w:tcW w:w="7200" w:type="dxa"/>
          </w:tcPr>
          <w:p w14:paraId="51F8CA62" w14:textId="77777777" w:rsidR="00476AF5" w:rsidRDefault="00F43115">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476AF5" w14:paraId="2427234C" w14:textId="77777777">
        <w:trPr>
          <w:jc w:val="center"/>
        </w:trPr>
        <w:tc>
          <w:tcPr>
            <w:tcW w:w="2014" w:type="dxa"/>
          </w:tcPr>
          <w:p w14:paraId="4A491B95"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14:paraId="71B41218"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w:t>
            </w:r>
            <w:r>
              <w:rPr>
                <w:rFonts w:ascii="微软雅黑" w:eastAsia="微软雅黑" w:hAnsi="微软雅黑" w:hint="eastAsia"/>
                <w:szCs w:val="21"/>
              </w:rPr>
              <w:t>。客户从理财产品取得的收益应缴纳的税款，由客户自行申报及缴纳。</w:t>
            </w:r>
          </w:p>
        </w:tc>
      </w:tr>
    </w:tbl>
    <w:p w14:paraId="0C81E8C3" w14:textId="77777777" w:rsidR="00476AF5" w:rsidRDefault="00476AF5">
      <w:pPr>
        <w:adjustRightInd w:val="0"/>
        <w:snapToGrid w:val="0"/>
        <w:spacing w:line="320" w:lineRule="exact"/>
        <w:ind w:left="456"/>
        <w:rPr>
          <w:rFonts w:ascii="微软雅黑" w:eastAsia="微软雅黑" w:hAnsi="微软雅黑" w:cs="Arial"/>
          <w:b/>
          <w:szCs w:val="21"/>
        </w:rPr>
      </w:pPr>
    </w:p>
    <w:p w14:paraId="6ECB459F" w14:textId="77777777" w:rsidR="00476AF5" w:rsidRDefault="00F43115">
      <w:pPr>
        <w:adjustRightInd w:val="0"/>
        <w:snapToGrid w:val="0"/>
        <w:spacing w:line="320" w:lineRule="exact"/>
        <w:rPr>
          <w:rFonts w:ascii="微软雅黑" w:eastAsia="微软雅黑" w:hAnsi="微软雅黑" w:cs="Arial"/>
          <w:b/>
          <w:szCs w:val="21"/>
        </w:rPr>
      </w:pPr>
      <w:r>
        <w:rPr>
          <w:rFonts w:ascii="微软雅黑" w:eastAsia="微软雅黑" w:hAnsi="微软雅黑" w:cs="Arial" w:hint="eastAsia"/>
          <w:b/>
          <w:szCs w:val="21"/>
        </w:rPr>
        <w:t>管理人</w:t>
      </w:r>
    </w:p>
    <w:p w14:paraId="073ADB3A" w14:textId="77777777" w:rsidR="00476AF5" w:rsidRDefault="00F43115">
      <w:p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珠海华润银行股份有限公司</w:t>
      </w:r>
      <w:r>
        <w:rPr>
          <w:rFonts w:ascii="微软雅黑" w:eastAsia="微软雅黑" w:hAnsi="微软雅黑" w:cs="Arial" w:hint="eastAsia"/>
          <w:bCs/>
          <w:szCs w:val="21"/>
        </w:rPr>
        <w:t>作为本理财产品管理人，</w:t>
      </w:r>
      <w:r>
        <w:rPr>
          <w:rFonts w:ascii="微软雅黑" w:eastAsia="微软雅黑" w:hAnsi="微软雅黑" w:cs="Arial" w:hint="eastAsia"/>
          <w:bCs/>
          <w:szCs w:val="21"/>
        </w:rPr>
        <w:t>负责本理财产品的投资运作和产品管理，投资者在此授权并同意珠海华润银行股份有限公司享有以下权利：</w:t>
      </w:r>
    </w:p>
    <w:p w14:paraId="77F8FA49"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w:t>
      </w:r>
      <w:r>
        <w:rPr>
          <w:rFonts w:ascii="微软雅黑" w:eastAsia="微软雅黑" w:hAnsi="微软雅黑" w:cs="Arial" w:hint="eastAsia"/>
          <w:bCs/>
          <w:szCs w:val="21"/>
        </w:rPr>
        <w:t>按照</w:t>
      </w:r>
      <w:r>
        <w:rPr>
          <w:rFonts w:ascii="微软雅黑" w:eastAsia="微软雅黑" w:hAnsi="微软雅黑" w:cs="Arial" w:hint="eastAsia"/>
          <w:bCs/>
          <w:szCs w:val="21"/>
        </w:rPr>
        <w:t>理财产品销售文件</w:t>
      </w:r>
      <w:r>
        <w:rPr>
          <w:rFonts w:ascii="微软雅黑" w:eastAsia="微软雅黑" w:hAnsi="微软雅黑" w:cs="Arial" w:hint="eastAsia"/>
          <w:bCs/>
          <w:szCs w:val="21"/>
        </w:rPr>
        <w:t>的约定，管理、运用和处分理财产品资金；</w:t>
      </w:r>
    </w:p>
    <w:p w14:paraId="25A6C7E5"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2.</w:t>
      </w:r>
      <w:r>
        <w:rPr>
          <w:rFonts w:ascii="微软雅黑" w:eastAsia="微软雅黑" w:hAnsi="微软雅黑" w:cs="Arial" w:hint="eastAsia"/>
          <w:bCs/>
          <w:szCs w:val="21"/>
        </w:rPr>
        <w:t>按照理财产品销售文件的约定，及时、足额获得投资管理费；</w:t>
      </w:r>
    </w:p>
    <w:p w14:paraId="0A4F5BF6"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3.</w:t>
      </w:r>
      <w:r>
        <w:rPr>
          <w:rFonts w:ascii="微软雅黑" w:eastAsia="微软雅黑" w:hAnsi="微软雅黑" w:cs="Arial" w:hint="eastAsia"/>
          <w:bCs/>
          <w:szCs w:val="21"/>
        </w:rPr>
        <w:t>有权根据理财产品销售文件的约定提前终止本理财产品或延长本理财产品的期限；</w:t>
      </w:r>
    </w:p>
    <w:p w14:paraId="21878F96"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4.</w:t>
      </w:r>
      <w:r>
        <w:rPr>
          <w:rFonts w:ascii="微软雅黑" w:eastAsia="微软雅黑" w:hAnsi="微软雅黑" w:cs="Arial" w:hint="eastAsia"/>
          <w:bCs/>
          <w:szCs w:val="21"/>
        </w:rPr>
        <w:t>以其固有财产先行垫付因处理本理财产品相关事务所支出的理财产品费用及税费的，对理财产品资金享有优先受偿的权利；</w:t>
      </w:r>
    </w:p>
    <w:p w14:paraId="689C2F34"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5.</w:t>
      </w:r>
      <w:r>
        <w:rPr>
          <w:rFonts w:ascii="微软雅黑" w:eastAsia="微软雅黑" w:hAnsi="微软雅黑" w:cs="Arial" w:hint="eastAsia"/>
          <w:bCs/>
          <w:szCs w:val="21"/>
        </w:rPr>
        <w:t>有权调整认</w:t>
      </w:r>
      <w:r>
        <w:rPr>
          <w:rFonts w:ascii="微软雅黑" w:eastAsia="微软雅黑" w:hAnsi="微软雅黑" w:cs="Arial" w:hint="eastAsia"/>
          <w:bCs/>
          <w:szCs w:val="21"/>
        </w:rPr>
        <w:t>/</w:t>
      </w:r>
      <w:r>
        <w:rPr>
          <w:rFonts w:ascii="微软雅黑" w:eastAsia="微软雅黑" w:hAnsi="微软雅黑" w:cs="Arial" w:hint="eastAsia"/>
          <w:bCs/>
          <w:szCs w:val="21"/>
        </w:rPr>
        <w:t>申购资金的最低金额；</w:t>
      </w:r>
    </w:p>
    <w:p w14:paraId="4ACBC331"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6.</w:t>
      </w:r>
      <w:r>
        <w:rPr>
          <w:rFonts w:ascii="微软雅黑" w:eastAsia="微软雅黑" w:hAnsi="微软雅黑" w:cs="Arial" w:hint="eastAsia"/>
          <w:bCs/>
          <w:szCs w:val="21"/>
        </w:rPr>
        <w:t>有权按照法律规定和监管机构的要求将投资者的信息向有权部门或相关机构披露；</w:t>
      </w:r>
    </w:p>
    <w:p w14:paraId="060C1ED3"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7.</w:t>
      </w:r>
      <w:r>
        <w:rPr>
          <w:rFonts w:ascii="微软雅黑" w:eastAsia="微软雅黑" w:hAnsi="微软雅黑" w:cs="Arial" w:hint="eastAsia"/>
          <w:bCs/>
          <w:szCs w:val="21"/>
        </w:rPr>
        <w:t>以理财产品管理人的名义，依照法律法规相关规定以及为理财产品的利益，对被投资</w:t>
      </w:r>
      <w:r>
        <w:rPr>
          <w:rFonts w:ascii="微软雅黑" w:eastAsia="微软雅黑" w:hAnsi="微软雅黑" w:cs="Arial" w:hint="eastAsia"/>
          <w:bCs/>
          <w:szCs w:val="21"/>
        </w:rPr>
        <w:lastRenderedPageBreak/>
        <w:t>的各类基金（</w:t>
      </w:r>
      <w:proofErr w:type="gramStart"/>
      <w:r>
        <w:rPr>
          <w:rFonts w:ascii="微软雅黑" w:eastAsia="微软雅黑" w:hAnsi="微软雅黑" w:cs="Arial" w:hint="eastAsia"/>
          <w:bCs/>
          <w:szCs w:val="21"/>
        </w:rPr>
        <w:t>含公募基金</w:t>
      </w:r>
      <w:proofErr w:type="gramEnd"/>
      <w:r>
        <w:rPr>
          <w:rFonts w:ascii="微软雅黑" w:eastAsia="微软雅黑" w:hAnsi="微软雅黑" w:cs="Arial" w:hint="eastAsia"/>
          <w:bCs/>
          <w:szCs w:val="21"/>
        </w:rPr>
        <w:t>和私募基金）、公司</w:t>
      </w:r>
      <w:r>
        <w:rPr>
          <w:rFonts w:ascii="微软雅黑" w:eastAsia="微软雅黑" w:hAnsi="微软雅黑" w:cs="Arial" w:hint="eastAsia"/>
          <w:bCs/>
          <w:szCs w:val="21"/>
        </w:rPr>
        <w:t>/</w:t>
      </w:r>
      <w:r>
        <w:rPr>
          <w:rFonts w:ascii="微软雅黑" w:eastAsia="微软雅黑" w:hAnsi="微软雅黑" w:cs="Arial" w:hint="eastAsia"/>
          <w:bCs/>
          <w:szCs w:val="21"/>
        </w:rPr>
        <w:t>企业等行使出资人</w:t>
      </w:r>
      <w:r>
        <w:rPr>
          <w:rFonts w:ascii="微软雅黑" w:eastAsia="微软雅黑" w:hAnsi="微软雅黑" w:cs="Arial" w:hint="eastAsia"/>
          <w:bCs/>
          <w:szCs w:val="21"/>
        </w:rPr>
        <w:t>/</w:t>
      </w:r>
      <w:r>
        <w:rPr>
          <w:rFonts w:ascii="微软雅黑" w:eastAsia="微软雅黑" w:hAnsi="微软雅黑" w:cs="Arial" w:hint="eastAsia"/>
          <w:bCs/>
          <w:szCs w:val="21"/>
        </w:rPr>
        <w:t>投资者权利（包括但不限于表决投票的权利）以及行使因理财产品财产投资于证券类基础资产（含债券）或其他基础资产（包括但不限于债权类资产）所产生的相关</w:t>
      </w:r>
      <w:r>
        <w:rPr>
          <w:rFonts w:ascii="微软雅黑" w:eastAsia="微软雅黑" w:hAnsi="微软雅黑" w:cs="Arial" w:hint="eastAsia"/>
          <w:bCs/>
          <w:szCs w:val="21"/>
        </w:rPr>
        <w:t>权利；</w:t>
      </w:r>
    </w:p>
    <w:p w14:paraId="1A0726F9"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8.</w:t>
      </w:r>
      <w:r>
        <w:rPr>
          <w:rFonts w:ascii="微软雅黑" w:eastAsia="微软雅黑" w:hAnsi="微软雅黑" w:cs="Arial" w:hint="eastAsia"/>
          <w:bCs/>
          <w:szCs w:val="21"/>
        </w:rPr>
        <w:t>以理财产品管理人的名义，依照法律法规相关规定以及代表理财产品份额持有人的利益行使代为追索（包括但不限于提起诉讼</w:t>
      </w:r>
      <w:r>
        <w:rPr>
          <w:rFonts w:ascii="微软雅黑" w:eastAsia="微软雅黑" w:hAnsi="微软雅黑" w:cs="Arial" w:hint="eastAsia"/>
          <w:bCs/>
          <w:szCs w:val="21"/>
        </w:rPr>
        <w:t>/</w:t>
      </w:r>
      <w:r>
        <w:rPr>
          <w:rFonts w:ascii="微软雅黑" w:eastAsia="微软雅黑" w:hAnsi="微软雅黑" w:cs="Arial" w:hint="eastAsia"/>
          <w:bCs/>
          <w:szCs w:val="21"/>
        </w:rPr>
        <w:t>仲裁、申请保全</w:t>
      </w:r>
      <w:r>
        <w:rPr>
          <w:rFonts w:ascii="微软雅黑" w:eastAsia="微软雅黑" w:hAnsi="微软雅黑" w:cs="Arial" w:hint="eastAsia"/>
          <w:bCs/>
          <w:szCs w:val="21"/>
        </w:rPr>
        <w:t>/</w:t>
      </w:r>
      <w:r>
        <w:rPr>
          <w:rFonts w:ascii="微软雅黑" w:eastAsia="微软雅黑" w:hAnsi="微软雅黑" w:cs="Arial" w:hint="eastAsia"/>
          <w:bCs/>
          <w:szCs w:val="21"/>
        </w:rPr>
        <w:t>执行的权利）、和解等权利或者实施其他法律行为；</w:t>
      </w:r>
    </w:p>
    <w:p w14:paraId="1F6ED947"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9.</w:t>
      </w:r>
      <w:r>
        <w:rPr>
          <w:rFonts w:ascii="微软雅黑" w:eastAsia="微软雅黑" w:hAnsi="微软雅黑" w:cs="Arial" w:hint="eastAsia"/>
          <w:bCs/>
          <w:szCs w:val="21"/>
        </w:rPr>
        <w:t>在法律法规、监管政策允许的前提下调整估值日；</w:t>
      </w:r>
    </w:p>
    <w:p w14:paraId="7A9242D2"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10.</w:t>
      </w:r>
      <w:r>
        <w:rPr>
          <w:rFonts w:ascii="微软雅黑" w:eastAsia="微软雅黑" w:hAnsi="微软雅黑" w:cs="Arial" w:hint="eastAsia"/>
          <w:bCs/>
          <w:szCs w:val="21"/>
        </w:rPr>
        <w:t>行使法律法规、监管政策和</w:t>
      </w:r>
      <w:r>
        <w:rPr>
          <w:rFonts w:ascii="微软雅黑" w:eastAsia="微软雅黑" w:hAnsi="微软雅黑" w:cs="Arial" w:hint="eastAsia"/>
          <w:bCs/>
          <w:szCs w:val="21"/>
        </w:rPr>
        <w:t>理财产品销售文件</w:t>
      </w:r>
      <w:r>
        <w:rPr>
          <w:rFonts w:ascii="微软雅黑" w:eastAsia="微软雅黑" w:hAnsi="微软雅黑" w:cs="Arial" w:hint="eastAsia"/>
          <w:bCs/>
          <w:szCs w:val="21"/>
        </w:rPr>
        <w:t>约定的其他权利。</w:t>
      </w:r>
    </w:p>
    <w:p w14:paraId="581A5DCF" w14:textId="77777777" w:rsidR="00476AF5" w:rsidRDefault="00476AF5">
      <w:pPr>
        <w:adjustRightInd w:val="0"/>
        <w:snapToGrid w:val="0"/>
        <w:spacing w:line="320" w:lineRule="exact"/>
        <w:rPr>
          <w:rFonts w:ascii="微软雅黑" w:eastAsia="微软雅黑" w:hAnsi="微软雅黑" w:cs="Arial"/>
          <w:b/>
          <w:szCs w:val="21"/>
        </w:rPr>
      </w:pPr>
    </w:p>
    <w:p w14:paraId="068DC138" w14:textId="77777777" w:rsidR="00476AF5" w:rsidRDefault="00F43115">
      <w:pPr>
        <w:adjustRightInd w:val="0"/>
        <w:snapToGrid w:val="0"/>
        <w:spacing w:line="320" w:lineRule="exact"/>
        <w:rPr>
          <w:rFonts w:ascii="微软雅黑" w:eastAsia="微软雅黑" w:hAnsi="微软雅黑" w:cs="Arial"/>
          <w:b/>
          <w:szCs w:val="21"/>
        </w:rPr>
      </w:pPr>
      <w:r>
        <w:rPr>
          <w:rFonts w:ascii="微软雅黑" w:eastAsia="微软雅黑" w:hAnsi="微软雅黑" w:cs="Arial" w:hint="eastAsia"/>
          <w:b/>
          <w:szCs w:val="21"/>
        </w:rPr>
        <w:t>托管人</w:t>
      </w:r>
    </w:p>
    <w:p w14:paraId="073A2DDB" w14:textId="77777777" w:rsidR="00476AF5" w:rsidRDefault="00F43115">
      <w:p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宁波银行作为本理财产品的托管人，主要职责如下：</w:t>
      </w:r>
    </w:p>
    <w:p w14:paraId="5DFDD9FD"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w:t>
      </w:r>
      <w:r>
        <w:rPr>
          <w:rFonts w:ascii="微软雅黑" w:eastAsia="微软雅黑" w:hAnsi="微软雅黑" w:cs="Arial" w:hint="eastAsia"/>
          <w:bCs/>
          <w:szCs w:val="21"/>
        </w:rPr>
        <w:t>安全保管理财产品财产；</w:t>
      </w:r>
    </w:p>
    <w:p w14:paraId="6EA097EC"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2.</w:t>
      </w:r>
      <w:r>
        <w:rPr>
          <w:rFonts w:ascii="微软雅黑" w:eastAsia="微软雅黑" w:hAnsi="微软雅黑" w:cs="Arial" w:hint="eastAsia"/>
          <w:bCs/>
          <w:szCs w:val="21"/>
        </w:rPr>
        <w:t>为理财产品开设银行托管账户、证券账户等；</w:t>
      </w:r>
    </w:p>
    <w:p w14:paraId="21F130D9"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3.</w:t>
      </w:r>
      <w:r>
        <w:rPr>
          <w:rFonts w:ascii="微软雅黑" w:eastAsia="微软雅黑" w:hAnsi="微软雅黑" w:cs="Arial" w:hint="eastAsia"/>
          <w:bCs/>
          <w:szCs w:val="21"/>
        </w:rPr>
        <w:t>确认与执行理财产品资金划拨指令，办理理财产品资金的收付，核对理财产品资金划</w:t>
      </w:r>
      <w:r>
        <w:rPr>
          <w:rFonts w:ascii="微软雅黑" w:eastAsia="微软雅黑" w:hAnsi="微软雅黑" w:cs="Arial" w:hint="eastAsia"/>
          <w:bCs/>
          <w:szCs w:val="21"/>
        </w:rPr>
        <w:t>拨记录；</w:t>
      </w:r>
    </w:p>
    <w:p w14:paraId="3CEBAEE7"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4.</w:t>
      </w:r>
      <w:r>
        <w:rPr>
          <w:rFonts w:ascii="微软雅黑" w:eastAsia="微软雅黑" w:hAnsi="微软雅黑" w:cs="Arial" w:hint="eastAsia"/>
          <w:bCs/>
          <w:szCs w:val="21"/>
        </w:rPr>
        <w:t>建立与理财产品管理人的对账机制，复核理财产品资产净值、理财产品份额申赎价格，及时核查投资资金的支付和到账情况；</w:t>
      </w:r>
    </w:p>
    <w:p w14:paraId="38A1A4FE"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5.</w:t>
      </w:r>
      <w:r>
        <w:rPr>
          <w:rFonts w:ascii="微软雅黑" w:eastAsia="微软雅黑" w:hAnsi="微软雅黑" w:cs="Arial" w:hint="eastAsia"/>
          <w:bCs/>
          <w:szCs w:val="21"/>
        </w:rPr>
        <w:t>办理与所托管产品业务活动有关的信息披露事项；</w:t>
      </w:r>
    </w:p>
    <w:p w14:paraId="2C436C48"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6.</w:t>
      </w:r>
      <w:r>
        <w:rPr>
          <w:rFonts w:ascii="微软雅黑" w:eastAsia="微软雅黑" w:hAnsi="微软雅黑" w:cs="Arial" w:hint="eastAsia"/>
          <w:bCs/>
          <w:szCs w:val="21"/>
        </w:rPr>
        <w:t>监督理财产品投资运作；</w:t>
      </w:r>
    </w:p>
    <w:p w14:paraId="319DCEFD"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7.</w:t>
      </w:r>
      <w:r>
        <w:rPr>
          <w:rFonts w:ascii="微软雅黑" w:eastAsia="微软雅黑" w:hAnsi="微软雅黑" w:cs="Arial" w:hint="eastAsia"/>
          <w:bCs/>
          <w:szCs w:val="21"/>
        </w:rPr>
        <w:t>对理财产品投资信息和相关资料承担保密责任；</w:t>
      </w:r>
    </w:p>
    <w:p w14:paraId="0E1A88AB"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8.</w:t>
      </w:r>
      <w:r>
        <w:rPr>
          <w:rFonts w:ascii="微软雅黑" w:eastAsia="微软雅黑" w:hAnsi="微软雅黑" w:cs="Arial" w:hint="eastAsia"/>
          <w:bCs/>
          <w:szCs w:val="21"/>
        </w:rPr>
        <w:t>保存托管业务活动的记录、账册、报表和其他相关资料；</w:t>
      </w:r>
    </w:p>
    <w:p w14:paraId="2AF9C9E9"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9.</w:t>
      </w:r>
      <w:r>
        <w:rPr>
          <w:rFonts w:ascii="微软雅黑" w:eastAsia="微软雅黑" w:hAnsi="微软雅黑" w:cs="Arial" w:hint="eastAsia"/>
          <w:bCs/>
          <w:szCs w:val="21"/>
        </w:rPr>
        <w:t>法律法规规定和托管合同约定的其他职责。</w:t>
      </w:r>
    </w:p>
    <w:p w14:paraId="4BC3B58D" w14:textId="77777777" w:rsidR="00476AF5" w:rsidRDefault="00476AF5">
      <w:pPr>
        <w:adjustRightInd w:val="0"/>
        <w:snapToGrid w:val="0"/>
        <w:spacing w:line="320" w:lineRule="exact"/>
        <w:ind w:firstLineChars="200" w:firstLine="420"/>
        <w:rPr>
          <w:rFonts w:ascii="微软雅黑" w:eastAsia="微软雅黑" w:hAnsi="微软雅黑" w:cs="Arial"/>
          <w:bCs/>
          <w:szCs w:val="21"/>
        </w:rPr>
      </w:pPr>
    </w:p>
    <w:p w14:paraId="2E18CE1F" w14:textId="77777777" w:rsidR="00476AF5" w:rsidRDefault="00F43115">
      <w:pPr>
        <w:numPr>
          <w:ilvl w:val="0"/>
          <w:numId w:val="1"/>
        </w:num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投资</w:t>
      </w:r>
      <w:r>
        <w:rPr>
          <w:rFonts w:ascii="微软雅黑" w:eastAsia="微软雅黑" w:hAnsi="微软雅黑" w:cs="Arial" w:hint="eastAsia"/>
          <w:b/>
          <w:szCs w:val="21"/>
        </w:rPr>
        <w:t>运作</w:t>
      </w:r>
    </w:p>
    <w:p w14:paraId="08A84452"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
          <w:szCs w:val="21"/>
        </w:rPr>
      </w:pPr>
      <w:r>
        <w:rPr>
          <w:rFonts w:ascii="微软雅黑" w:eastAsia="微软雅黑" w:hAnsi="微软雅黑" w:cs="Arial" w:hint="eastAsia"/>
          <w:b/>
          <w:szCs w:val="21"/>
        </w:rPr>
        <w:t>（一）投资范围</w:t>
      </w:r>
    </w:p>
    <w:p w14:paraId="3A51B516"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14:paraId="6B9CE8C7"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、超短期融资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、公司债、私募债、永续债、可转换债券、可交换债、非公开定向</w:t>
      </w:r>
      <w:proofErr w:type="gramStart"/>
      <w:r>
        <w:rPr>
          <w:rFonts w:ascii="微软雅黑" w:eastAsia="微软雅黑" w:hAnsi="微软雅黑" w:hint="eastAsia"/>
          <w:szCs w:val="21"/>
        </w:rPr>
        <w:t>债务债务</w:t>
      </w:r>
      <w:proofErr w:type="gramEnd"/>
      <w:r>
        <w:rPr>
          <w:rFonts w:ascii="微软雅黑" w:eastAsia="微软雅黑" w:hAnsi="微软雅黑" w:hint="eastAsia"/>
          <w:szCs w:val="21"/>
        </w:rPr>
        <w:t>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w:t>
      </w:r>
      <w:proofErr w:type="gramStart"/>
      <w:r>
        <w:rPr>
          <w:rFonts w:ascii="微软雅黑" w:eastAsia="微软雅黑" w:hAnsi="微软雅黑" w:hint="eastAsia"/>
          <w:szCs w:val="21"/>
        </w:rPr>
        <w:t>含可续期</w:t>
      </w:r>
      <w:proofErr w:type="gramEnd"/>
      <w:r>
        <w:rPr>
          <w:rFonts w:ascii="微软雅黑" w:eastAsia="微软雅黑" w:hAnsi="微软雅黑" w:hint="eastAsia"/>
          <w:szCs w:val="21"/>
        </w:rPr>
        <w:t>信托贷款）、应收账款、收益权转让、承兑汇票、信用证、收益凭证、可续</w:t>
      </w:r>
      <w:proofErr w:type="gramStart"/>
      <w:r>
        <w:rPr>
          <w:rFonts w:ascii="微软雅黑" w:eastAsia="微软雅黑" w:hAnsi="微软雅黑" w:hint="eastAsia"/>
          <w:szCs w:val="21"/>
        </w:rPr>
        <w:t>期贷</w:t>
      </w:r>
      <w:proofErr w:type="gramEnd"/>
      <w:r>
        <w:rPr>
          <w:rFonts w:ascii="微软雅黑" w:eastAsia="微软雅黑" w:hAnsi="微软雅黑" w:hint="eastAsia"/>
          <w:szCs w:val="21"/>
        </w:rPr>
        <w:t>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永续债权投资资产、股权收益权转让及受让等非标准化债权资产；以及监管部门认可的其他金融投资工具。</w:t>
      </w:r>
    </w:p>
    <w:p w14:paraId="7D9B07AF"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14:paraId="3F82CC45"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w:t>
      </w:r>
      <w:r>
        <w:rPr>
          <w:rFonts w:ascii="微软雅黑" w:eastAsia="微软雅黑" w:hAnsi="微软雅黑" w:hint="eastAsia"/>
          <w:szCs w:val="21"/>
        </w:rPr>
        <w:t>可以将其纳入投资范围。</w:t>
      </w:r>
    </w:p>
    <w:p w14:paraId="17E34B1C" w14:textId="77777777" w:rsidR="00476AF5" w:rsidRDefault="00F43115">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476AF5" w14:paraId="55C37744" w14:textId="77777777">
        <w:tc>
          <w:tcPr>
            <w:tcW w:w="3727" w:type="dxa"/>
          </w:tcPr>
          <w:p w14:paraId="05C53510" w14:textId="77777777" w:rsidR="00476AF5" w:rsidRDefault="00F43115">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14:paraId="799149A7" w14:textId="77777777" w:rsidR="00476AF5" w:rsidRDefault="00F43115">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476AF5" w14:paraId="7A180731" w14:textId="77777777">
        <w:tc>
          <w:tcPr>
            <w:tcW w:w="3727" w:type="dxa"/>
          </w:tcPr>
          <w:p w14:paraId="46C33F40"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lastRenderedPageBreak/>
              <w:t>固定收益类资产</w:t>
            </w:r>
          </w:p>
        </w:tc>
        <w:tc>
          <w:tcPr>
            <w:tcW w:w="2651" w:type="dxa"/>
          </w:tcPr>
          <w:p w14:paraId="4B5E4208"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80%-100%</w:t>
            </w:r>
          </w:p>
        </w:tc>
      </w:tr>
      <w:tr w:rsidR="00476AF5" w14:paraId="1521768D" w14:textId="77777777">
        <w:tc>
          <w:tcPr>
            <w:tcW w:w="3727" w:type="dxa"/>
          </w:tcPr>
          <w:p w14:paraId="06D8DE49"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14:paraId="48D4572F"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0-20%</w:t>
            </w:r>
          </w:p>
        </w:tc>
      </w:tr>
    </w:tbl>
    <w:p w14:paraId="3FCDB5D9" w14:textId="77777777" w:rsidR="00476AF5" w:rsidRDefault="00F43115">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14:paraId="51C60944" w14:textId="77777777" w:rsidR="00476AF5" w:rsidRDefault="00F43115">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14:paraId="355E61D3" w14:textId="77777777" w:rsidR="00476AF5" w:rsidRDefault="00F43115">
      <w:pPr>
        <w:numPr>
          <w:ilvl w:val="0"/>
          <w:numId w:val="2"/>
        </w:numPr>
        <w:adjustRightInd w:val="0"/>
        <w:snapToGrid w:val="0"/>
        <w:spacing w:line="320" w:lineRule="exact"/>
        <w:ind w:left="454"/>
        <w:rPr>
          <w:rFonts w:ascii="微软雅黑" w:eastAsia="微软雅黑" w:hAnsi="微软雅黑" w:cs="Arial"/>
          <w:b/>
          <w:szCs w:val="21"/>
        </w:rPr>
      </w:pPr>
      <w:r>
        <w:rPr>
          <w:rFonts w:ascii="微软雅黑" w:eastAsia="微软雅黑" w:hAnsi="微软雅黑" w:cs="Arial" w:hint="eastAsia"/>
          <w:b/>
          <w:szCs w:val="21"/>
        </w:rPr>
        <w:t>投资策略</w:t>
      </w:r>
    </w:p>
    <w:p w14:paraId="00DBB99E" w14:textId="77777777" w:rsidR="00476AF5" w:rsidRDefault="00F43115">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本产品以固定收益类资产配置为主，通过分析</w:t>
      </w:r>
      <w:proofErr w:type="gramStart"/>
      <w:r>
        <w:rPr>
          <w:rFonts w:ascii="微软雅黑" w:eastAsia="微软雅黑" w:hAnsi="微软雅黑" w:cs="Arial" w:hint="eastAsia"/>
          <w:bCs/>
          <w:szCs w:val="21"/>
        </w:rPr>
        <w:t>研</w:t>
      </w:r>
      <w:proofErr w:type="gramEnd"/>
      <w:r>
        <w:rPr>
          <w:rFonts w:ascii="微软雅黑" w:eastAsia="微软雅黑" w:hAnsi="微软雅黑" w:cs="Arial" w:hint="eastAsia"/>
          <w:bCs/>
          <w:szCs w:val="21"/>
        </w:rPr>
        <w:t>判宏观经济走势，以及货币政策、财政政策的变化，结合利息周期变化、市场利率变化趋势等因素，采用配置策略、利率预期策略和</w:t>
      </w:r>
      <w:proofErr w:type="gramStart"/>
      <w:r>
        <w:rPr>
          <w:rFonts w:ascii="微软雅黑" w:eastAsia="微软雅黑" w:hAnsi="微软雅黑" w:cs="Arial" w:hint="eastAsia"/>
          <w:bCs/>
          <w:szCs w:val="21"/>
        </w:rPr>
        <w:t>组合久期策略</w:t>
      </w:r>
      <w:proofErr w:type="gramEnd"/>
      <w:r>
        <w:rPr>
          <w:rFonts w:ascii="微软雅黑" w:eastAsia="微软雅黑" w:hAnsi="微软雅黑" w:cs="Arial" w:hint="eastAsia"/>
          <w:bCs/>
          <w:szCs w:val="21"/>
        </w:rPr>
        <w:t>、交易策略、息差策略、信用策略等，实现资产组合的稳健增值。</w:t>
      </w:r>
    </w:p>
    <w:p w14:paraId="086C8D56" w14:textId="77777777" w:rsidR="00476AF5" w:rsidRDefault="00476AF5">
      <w:pPr>
        <w:numPr>
          <w:ilvl w:val="255"/>
          <w:numId w:val="0"/>
        </w:numPr>
        <w:adjustRightInd w:val="0"/>
        <w:snapToGrid w:val="0"/>
        <w:spacing w:line="320" w:lineRule="exact"/>
        <w:ind w:firstLineChars="200" w:firstLine="420"/>
        <w:rPr>
          <w:rFonts w:ascii="微软雅黑" w:eastAsia="微软雅黑" w:hAnsi="微软雅黑" w:cs="Arial"/>
          <w:bCs/>
          <w:szCs w:val="21"/>
        </w:rPr>
      </w:pPr>
    </w:p>
    <w:p w14:paraId="4776D2CB" w14:textId="77777777" w:rsidR="00476AF5" w:rsidRDefault="00F43115">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14:paraId="34817DB7"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14:paraId="66C0AE0B"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p>
    <w:p w14:paraId="08E1D0AA"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14:paraId="5A0EB61D" w14:textId="77777777" w:rsidR="00476AF5" w:rsidRDefault="00476AF5">
      <w:pPr>
        <w:adjustRightInd w:val="0"/>
        <w:snapToGrid w:val="0"/>
        <w:spacing w:line="320" w:lineRule="exact"/>
        <w:ind w:left="454"/>
        <w:rPr>
          <w:rFonts w:ascii="微软雅黑" w:eastAsia="微软雅黑" w:hAnsi="微软雅黑"/>
          <w:szCs w:val="21"/>
        </w:rPr>
      </w:pPr>
    </w:p>
    <w:p w14:paraId="016D64C2" w14:textId="77777777" w:rsidR="00476AF5" w:rsidRDefault="00F43115">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14:paraId="5CBF215E" w14:textId="77777777" w:rsidR="00476AF5" w:rsidRDefault="00F43115">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14:paraId="2B700A83"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9</w:t>
      </w:r>
      <w:r>
        <w:rPr>
          <w:rFonts w:ascii="微软雅黑" w:eastAsia="微软雅黑" w:hAnsi="微软雅黑" w:hint="eastAsia"/>
          <w:szCs w:val="21"/>
        </w:rPr>
        <w:t>月</w:t>
      </w:r>
      <w:r>
        <w:rPr>
          <w:rFonts w:ascii="微软雅黑" w:eastAsia="微软雅黑" w:hAnsi="微软雅黑" w:hint="eastAsia"/>
          <w:szCs w:val="21"/>
        </w:rPr>
        <w:t>7</w:t>
      </w:r>
      <w:r>
        <w:rPr>
          <w:rFonts w:ascii="微软雅黑" w:eastAsia="微软雅黑" w:hAnsi="微软雅黑" w:hint="eastAsia"/>
          <w:szCs w:val="21"/>
        </w:rPr>
        <w:t>日</w:t>
      </w:r>
      <w:r>
        <w:rPr>
          <w:rFonts w:ascii="微软雅黑" w:eastAsia="微软雅黑" w:hAnsi="微软雅黑"/>
          <w:szCs w:val="21"/>
        </w:rPr>
        <w:t>进行认购登记。</w:t>
      </w:r>
    </w:p>
    <w:p w14:paraId="04501018"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14:paraId="0E862DA8"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14:paraId="4C923DB4"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w:t>
      </w:r>
      <w:proofErr w:type="gramStart"/>
      <w:r>
        <w:rPr>
          <w:rFonts w:ascii="微软雅黑" w:eastAsia="微软雅黑" w:hAnsi="微软雅黑"/>
          <w:szCs w:val="21"/>
        </w:rPr>
        <w:t>有效以</w:t>
      </w:r>
      <w:proofErr w:type="gramEnd"/>
      <w:r>
        <w:rPr>
          <w:rFonts w:ascii="微软雅黑" w:eastAsia="微软雅黑" w:hAnsi="微软雅黑"/>
          <w:szCs w:val="21"/>
        </w:rPr>
        <w:t>珠海华润银行的确</w:t>
      </w:r>
      <w:r>
        <w:rPr>
          <w:rFonts w:ascii="微软雅黑" w:eastAsia="微软雅黑" w:hAnsi="微软雅黑"/>
          <w:szCs w:val="21"/>
        </w:rPr>
        <w:t>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14:paraId="2155FAA9"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1</w:t>
      </w:r>
      <w:r>
        <w:rPr>
          <w:rFonts w:ascii="微软雅黑" w:eastAsia="微软雅黑" w:hAnsi="微软雅黑"/>
          <w:szCs w:val="21"/>
        </w:rPr>
        <w:t>万份；</w:t>
      </w:r>
    </w:p>
    <w:p w14:paraId="7A7DD7D1"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14:paraId="48CD767E" w14:textId="77777777" w:rsidR="00476AF5" w:rsidRDefault="00F4311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14:paraId="0D47AC7F" w14:textId="77777777" w:rsidR="00476AF5" w:rsidRDefault="00F43115">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14:paraId="11B14D1F" w14:textId="77777777" w:rsidR="00476AF5" w:rsidRDefault="00F43115">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14:paraId="59E84E97" w14:textId="77777777" w:rsidR="00476AF5" w:rsidRDefault="00F43115">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14:paraId="401BD6C4" w14:textId="77777777" w:rsidR="00476AF5" w:rsidRDefault="00476AF5">
      <w:pPr>
        <w:adjustRightInd w:val="0"/>
        <w:snapToGrid w:val="0"/>
        <w:spacing w:line="320" w:lineRule="exact"/>
        <w:ind w:left="454"/>
        <w:rPr>
          <w:rFonts w:ascii="微软雅黑" w:eastAsia="微软雅黑" w:hAnsi="微软雅黑" w:cs="Arial"/>
          <w:b/>
          <w:szCs w:val="21"/>
        </w:rPr>
      </w:pPr>
    </w:p>
    <w:p w14:paraId="070AE3DD" w14:textId="77777777" w:rsidR="00476AF5" w:rsidRDefault="00F4311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14:paraId="47D453C6" w14:textId="77777777" w:rsidR="00476AF5" w:rsidRDefault="00F4311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lastRenderedPageBreak/>
        <w:t>（一）产品到期</w:t>
      </w:r>
    </w:p>
    <w:p w14:paraId="379EBF80"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12</w:t>
      </w:r>
      <w:r>
        <w:rPr>
          <w:rFonts w:ascii="微软雅黑" w:eastAsia="微软雅黑" w:hAnsi="微软雅黑" w:hint="eastAsia"/>
          <w:szCs w:val="21"/>
        </w:rPr>
        <w:t>月</w:t>
      </w:r>
      <w:r>
        <w:rPr>
          <w:rFonts w:ascii="微软雅黑" w:eastAsia="微软雅黑" w:hAnsi="微软雅黑" w:hint="eastAsia"/>
          <w:szCs w:val="21"/>
        </w:rPr>
        <w:t>14</w:t>
      </w:r>
      <w:r>
        <w:rPr>
          <w:rFonts w:ascii="微软雅黑" w:eastAsia="微软雅黑" w:hAnsi="微软雅黑" w:hint="eastAsia"/>
          <w:szCs w:val="21"/>
        </w:rPr>
        <w:t>日（以实际到期日为准）</w:t>
      </w:r>
      <w:r>
        <w:rPr>
          <w:rFonts w:ascii="微软雅黑" w:eastAsia="微软雅黑" w:hAnsi="微软雅黑"/>
          <w:szCs w:val="21"/>
        </w:rPr>
        <w:t>，逢节假日顺延。</w:t>
      </w:r>
    </w:p>
    <w:p w14:paraId="602572E8"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w:t>
      </w:r>
      <w:r>
        <w:rPr>
          <w:rFonts w:ascii="微软雅黑" w:eastAsia="微软雅黑" w:hAnsi="微软雅黑"/>
          <w:szCs w:val="21"/>
        </w:rPr>
        <w:t>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14:paraId="17B60D38"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w:t>
      </w:r>
      <w:r>
        <w:rPr>
          <w:rFonts w:ascii="微软雅黑" w:eastAsia="微软雅黑" w:hAnsi="微软雅黑" w:hint="eastAsia"/>
          <w:szCs w:val="21"/>
        </w:rPr>
        <w:t>清算期超过</w:t>
      </w:r>
      <w:r>
        <w:rPr>
          <w:rFonts w:ascii="微软雅黑" w:eastAsia="微软雅黑" w:hAnsi="微软雅黑" w:hint="eastAsia"/>
          <w:szCs w:val="21"/>
        </w:rPr>
        <w:t>3</w:t>
      </w:r>
      <w:r>
        <w:rPr>
          <w:rFonts w:ascii="微软雅黑" w:eastAsia="微软雅黑" w:hAnsi="微软雅黑" w:hint="eastAsia"/>
          <w:szCs w:val="21"/>
        </w:rPr>
        <w:t>个工作日的，管理人将提前</w:t>
      </w:r>
      <w:r>
        <w:rPr>
          <w:rFonts w:ascii="微软雅黑" w:eastAsia="微软雅黑" w:hAnsi="微软雅黑" w:hint="eastAsia"/>
          <w:szCs w:val="21"/>
        </w:rPr>
        <w:t>2</w:t>
      </w:r>
      <w:r>
        <w:rPr>
          <w:rFonts w:ascii="微软雅黑" w:eastAsia="微软雅黑" w:hAnsi="微软雅黑" w:hint="eastAsia"/>
          <w:szCs w:val="21"/>
        </w:rPr>
        <w:t>个工作日根据约定方式进行信息披露。</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投资的认购金额比例进行分配，将暂时无法变现的其他投资组合资产恢复交易或通过其他途径变现后，管理人再就该部分资产进行分配。本理财</w:t>
      </w:r>
      <w:r>
        <w:rPr>
          <w:rFonts w:ascii="微软雅黑" w:eastAsia="微软雅黑" w:hAnsi="微软雅黑"/>
          <w:szCs w:val="21"/>
        </w:rPr>
        <w:t>产品</w:t>
      </w:r>
      <w:r>
        <w:rPr>
          <w:rFonts w:ascii="微软雅黑" w:eastAsia="微软雅黑" w:hAnsi="微软雅黑"/>
          <w:szCs w:val="21"/>
        </w:rPr>
        <w:t>的到期日</w:t>
      </w:r>
      <w:r>
        <w:rPr>
          <w:rFonts w:ascii="微软雅黑" w:eastAsia="微软雅黑" w:hAnsi="微软雅黑"/>
          <w:szCs w:val="21"/>
        </w:rPr>
        <w:t>及投资者持有的产品期限</w:t>
      </w:r>
      <w:r>
        <w:rPr>
          <w:rFonts w:ascii="微软雅黑" w:eastAsia="微软雅黑" w:hAnsi="微软雅黑"/>
          <w:szCs w:val="21"/>
        </w:rPr>
        <w:t>将相应延长</w:t>
      </w:r>
      <w:r>
        <w:rPr>
          <w:rFonts w:ascii="微软雅黑" w:eastAsia="微软雅黑" w:hAnsi="微软雅黑"/>
          <w:szCs w:val="21"/>
        </w:rPr>
        <w:t>，</w:t>
      </w:r>
      <w:r>
        <w:rPr>
          <w:rFonts w:ascii="微软雅黑" w:eastAsia="微软雅黑" w:hAnsi="微软雅黑" w:hint="eastAsia"/>
          <w:szCs w:val="21"/>
        </w:rPr>
        <w:t>具体请以珠海华润银行公告为准。延长期内不计收益，延期清算期间不计付利息。</w:t>
      </w:r>
    </w:p>
    <w:p w14:paraId="3E25D624" w14:textId="77777777" w:rsidR="00476AF5" w:rsidRDefault="00F4311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14:paraId="4C94F0C7"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w:t>
      </w:r>
      <w:r>
        <w:rPr>
          <w:rFonts w:ascii="微软雅黑" w:eastAsia="微软雅黑" w:hAnsi="微软雅黑" w:hint="eastAsia"/>
          <w:szCs w:val="21"/>
        </w:rPr>
        <w:t>户持有的该理财产品份额被冻结，被冻结的份额将不参与部分提前终止。</w:t>
      </w:r>
    </w:p>
    <w:p w14:paraId="08E5E9FF" w14:textId="77777777" w:rsidR="00476AF5" w:rsidRDefault="00F43115">
      <w:pPr>
        <w:pStyle w:val="a6"/>
        <w:spacing w:line="320" w:lineRule="exact"/>
        <w:ind w:left="420" w:firstLineChars="0" w:firstLine="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因不可抗力因素导致本理财产品无法继续运作；</w:t>
      </w:r>
    </w:p>
    <w:p w14:paraId="774E9E18" w14:textId="77777777" w:rsidR="00476AF5" w:rsidRDefault="00F43115">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14:paraId="1E140358" w14:textId="77777777" w:rsidR="00476AF5" w:rsidRDefault="00F43115">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14:paraId="00D10DEE" w14:textId="77777777" w:rsidR="00476AF5" w:rsidRDefault="00F43115">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14:paraId="6F101775" w14:textId="77777777" w:rsidR="00476AF5" w:rsidRDefault="00F43115">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w:t>
      </w:r>
      <w:r>
        <w:rPr>
          <w:rFonts w:ascii="微软雅黑" w:eastAsia="微软雅黑" w:hAnsi="微软雅黑" w:hint="eastAsia"/>
          <w:szCs w:val="21"/>
        </w:rPr>
        <w:t>部终止或提前部分终止的情形；</w:t>
      </w:r>
    </w:p>
    <w:p w14:paraId="5760E5F4"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14:paraId="3B62B029" w14:textId="77777777" w:rsidR="00476AF5" w:rsidRDefault="00476AF5">
      <w:pPr>
        <w:adjustRightInd w:val="0"/>
        <w:snapToGrid w:val="0"/>
        <w:spacing w:line="320" w:lineRule="exact"/>
        <w:rPr>
          <w:rFonts w:ascii="微软雅黑" w:eastAsia="微软雅黑" w:hAnsi="微软雅黑" w:cs="Arial"/>
          <w:b/>
          <w:szCs w:val="21"/>
        </w:rPr>
      </w:pPr>
    </w:p>
    <w:p w14:paraId="540CEBA9" w14:textId="77777777" w:rsidR="00476AF5" w:rsidRDefault="00F4311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14:paraId="0EB99946" w14:textId="77777777" w:rsidR="00476AF5" w:rsidRDefault="00F43115">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hint="eastAsia"/>
          <w:szCs w:val="21"/>
        </w:rPr>
        <w:t>【</w:t>
      </w:r>
      <w:r>
        <w:rPr>
          <w:rFonts w:ascii="微软雅黑" w:eastAsia="微软雅黑" w:hAnsi="微软雅黑" w:hint="eastAsia"/>
          <w:szCs w:val="21"/>
        </w:rPr>
        <w:t>4.0%</w:t>
      </w:r>
      <w:r>
        <w:rPr>
          <w:rFonts w:ascii="微软雅黑" w:eastAsia="微软雅黑" w:hAnsi="微软雅黑" w:hint="eastAsia"/>
          <w:szCs w:val="21"/>
        </w:rPr>
        <w:t>，</w:t>
      </w:r>
      <w:r>
        <w:rPr>
          <w:rFonts w:ascii="微软雅黑" w:eastAsia="微软雅黑" w:hAnsi="微软雅黑" w:hint="eastAsia"/>
          <w:szCs w:val="21"/>
        </w:rPr>
        <w:t>4.5</w:t>
      </w:r>
      <w:r>
        <w:rPr>
          <w:rFonts w:ascii="微软雅黑" w:eastAsia="微软雅黑" w:hAnsi="微软雅黑"/>
          <w:szCs w:val="21"/>
        </w:rPr>
        <w:t>%</w:t>
      </w:r>
      <w:r>
        <w:rPr>
          <w:rFonts w:ascii="微软雅黑" w:eastAsia="微软雅黑" w:hAnsi="微软雅黑" w:hint="eastAsia"/>
          <w:szCs w:val="21"/>
        </w:rPr>
        <w:t>】</w:t>
      </w:r>
      <w:r>
        <w:rPr>
          <w:rFonts w:ascii="微软雅黑" w:eastAsia="微软雅黑" w:hAnsi="微软雅黑" w:hint="eastAsia"/>
          <w:szCs w:val="21"/>
        </w:rPr>
        <w:t>。产品到期后，客户可获得总收益可能存在如下情景：</w:t>
      </w:r>
    </w:p>
    <w:p w14:paraId="0139D4F8"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w:t>
      </w:r>
      <w:r>
        <w:rPr>
          <w:rFonts w:ascii="微软雅黑" w:eastAsia="微软雅黑" w:hAnsi="微软雅黑" w:hint="eastAsia"/>
          <w:szCs w:val="21"/>
        </w:rPr>
        <w:t>表现</w:t>
      </w:r>
      <w:r>
        <w:rPr>
          <w:rFonts w:ascii="微软雅黑" w:eastAsia="微软雅黑" w:hAnsi="微软雅黑" w:hint="eastAsia"/>
          <w:szCs w:val="21"/>
        </w:rPr>
        <w:t>超过业绩比较基准。</w:t>
      </w:r>
    </w:p>
    <w:p w14:paraId="22ABECF6"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元，份额</w:t>
      </w:r>
      <w:r>
        <w:rPr>
          <w:rFonts w:ascii="微软雅黑" w:eastAsia="微软雅黑" w:hAnsi="微软雅黑" w:hint="eastAsia"/>
          <w:szCs w:val="21"/>
        </w:rPr>
        <w:t>确认</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450</w:t>
      </w:r>
      <w:r>
        <w:rPr>
          <w:rFonts w:ascii="微软雅黑" w:eastAsia="微软雅黑" w:hAnsi="微软雅黑" w:hint="eastAsia"/>
          <w:szCs w:val="21"/>
        </w:rPr>
        <w:t>0000</w:t>
      </w:r>
      <w:r>
        <w:rPr>
          <w:rFonts w:ascii="微软雅黑" w:eastAsia="微软雅黑" w:hAnsi="微软雅黑" w:hint="eastAsia"/>
          <w:szCs w:val="21"/>
        </w:rPr>
        <w:t>，</w:t>
      </w:r>
    </w:p>
    <w:p w14:paraId="38AE5C0E"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w:t>
      </w:r>
      <w:r>
        <w:rPr>
          <w:rFonts w:ascii="微软雅黑" w:eastAsia="微软雅黑" w:hAnsi="微软雅黑" w:hint="eastAsia"/>
          <w:szCs w:val="21"/>
        </w:rPr>
        <w:t>450</w:t>
      </w:r>
      <w:r>
        <w:rPr>
          <w:rFonts w:ascii="微软雅黑" w:eastAsia="微软雅黑" w:hAnsi="微软雅黑" w:hint="eastAsia"/>
          <w:szCs w:val="21"/>
        </w:rPr>
        <w:t>0000/1.00000000-1)</w:t>
      </w:r>
      <w:r>
        <w:rPr>
          <w:rFonts w:ascii="微软雅黑" w:eastAsia="微软雅黑" w:hAnsi="微软雅黑" w:hint="eastAsia"/>
          <w:szCs w:val="21"/>
        </w:rPr>
        <w:t>×</w:t>
      </w:r>
      <w:r>
        <w:rPr>
          <w:rFonts w:ascii="微软雅黑" w:eastAsia="微软雅黑" w:hAnsi="微软雅黑" w:hint="eastAsia"/>
          <w:szCs w:val="21"/>
        </w:rPr>
        <w:t>365/360=</w:t>
      </w:r>
      <w:r>
        <w:rPr>
          <w:rFonts w:ascii="微软雅黑" w:eastAsia="微软雅黑" w:hAnsi="微软雅黑" w:hint="eastAsia"/>
          <w:szCs w:val="21"/>
        </w:rPr>
        <w:t>4.56</w:t>
      </w:r>
      <w:r>
        <w:rPr>
          <w:rFonts w:ascii="微软雅黑" w:eastAsia="微软雅黑" w:hAnsi="微软雅黑" w:hint="eastAsia"/>
          <w:szCs w:val="21"/>
        </w:rPr>
        <w:t>%&gt;</w:t>
      </w:r>
      <w:r>
        <w:rPr>
          <w:rFonts w:ascii="微软雅黑" w:eastAsia="微软雅黑" w:hAnsi="微软雅黑" w:hint="eastAsia"/>
          <w:szCs w:val="21"/>
        </w:rPr>
        <w:t>4.5</w:t>
      </w:r>
      <w:r>
        <w:rPr>
          <w:rFonts w:ascii="微软雅黑" w:eastAsia="微软雅黑" w:hAnsi="微软雅黑" w:hint="eastAsia"/>
          <w:szCs w:val="21"/>
        </w:rPr>
        <w:t>%</w:t>
      </w:r>
      <w:r>
        <w:rPr>
          <w:rFonts w:ascii="微软雅黑" w:eastAsia="微软雅黑" w:hAnsi="微软雅黑" w:hint="eastAsia"/>
          <w:szCs w:val="21"/>
        </w:rPr>
        <w:t>，即投资</w:t>
      </w:r>
      <w:r>
        <w:rPr>
          <w:rFonts w:ascii="微软雅黑" w:eastAsia="微软雅黑" w:hAnsi="微软雅黑" w:hint="eastAsia"/>
          <w:szCs w:val="21"/>
        </w:rPr>
        <w:t>表现</w:t>
      </w:r>
      <w:r>
        <w:rPr>
          <w:rFonts w:ascii="微软雅黑" w:eastAsia="微软雅黑" w:hAnsi="微软雅黑" w:hint="eastAsia"/>
          <w:szCs w:val="21"/>
        </w:rPr>
        <w:t>超过业绩比较基准</w:t>
      </w:r>
      <w:r>
        <w:rPr>
          <w:rFonts w:ascii="微软雅黑" w:eastAsia="微软雅黑" w:hAnsi="微软雅黑" w:hint="eastAsia"/>
          <w:szCs w:val="21"/>
        </w:rPr>
        <w:t>上限</w:t>
      </w:r>
      <w:r>
        <w:rPr>
          <w:rFonts w:ascii="微软雅黑" w:eastAsia="微软雅黑" w:hAnsi="微软雅黑" w:hint="eastAsia"/>
          <w:szCs w:val="21"/>
        </w:rPr>
        <w:t>。假设超过的部分作为管理人的浮动投资管理费，则浮动投资管理费为：</w:t>
      </w:r>
    </w:p>
    <w:p w14:paraId="140E5D64"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w:t>
      </w:r>
      <w:r>
        <w:rPr>
          <w:rFonts w:ascii="微软雅黑" w:eastAsia="微软雅黑" w:hAnsi="微软雅黑" w:hint="eastAsia"/>
          <w:szCs w:val="21"/>
        </w:rPr>
        <w:t>450</w:t>
      </w:r>
      <w:r>
        <w:rPr>
          <w:rFonts w:ascii="微软雅黑" w:eastAsia="微软雅黑" w:hAnsi="微软雅黑" w:hint="eastAsia"/>
          <w:szCs w:val="21"/>
        </w:rPr>
        <w:t>0000-1.00000000</w:t>
      </w:r>
      <w:r>
        <w:rPr>
          <w:rFonts w:ascii="微软雅黑" w:eastAsia="微软雅黑" w:hAnsi="微软雅黑" w:hint="eastAsia"/>
          <w:szCs w:val="21"/>
        </w:rPr>
        <w:t>×</w:t>
      </w:r>
      <w:r>
        <w:rPr>
          <w:rFonts w:ascii="微软雅黑" w:eastAsia="微软雅黑" w:hAnsi="微软雅黑" w:hint="eastAsia"/>
          <w:szCs w:val="21"/>
        </w:rPr>
        <w:t>(1+</w:t>
      </w:r>
      <w:r>
        <w:rPr>
          <w:rFonts w:ascii="微软雅黑" w:eastAsia="微软雅黑" w:hAnsi="微软雅黑" w:hint="eastAsia"/>
          <w:szCs w:val="21"/>
        </w:rPr>
        <w:t>4</w:t>
      </w:r>
      <w:r>
        <w:rPr>
          <w:rFonts w:ascii="微软雅黑" w:eastAsia="微软雅黑" w:hAnsi="微软雅黑" w:hint="eastAsia"/>
          <w:szCs w:val="21"/>
        </w:rPr>
        <w:t>.</w:t>
      </w:r>
      <w:r>
        <w:rPr>
          <w:rFonts w:ascii="微软雅黑" w:eastAsia="微软雅黑" w:hAnsi="微软雅黑" w:hint="eastAsia"/>
          <w:szCs w:val="21"/>
        </w:rPr>
        <w:t>5</w:t>
      </w:r>
      <w:r>
        <w:rPr>
          <w:rFonts w:ascii="微软雅黑" w:eastAsia="微软雅黑" w:hAnsi="微软雅黑" w:hint="eastAsia"/>
          <w:szCs w:val="21"/>
        </w:rPr>
        <w:t>0%</w:t>
      </w:r>
      <w:r>
        <w:rPr>
          <w:rFonts w:ascii="微软雅黑" w:eastAsia="微软雅黑" w:hAnsi="微软雅黑" w:hint="eastAsia"/>
          <w:szCs w:val="21"/>
        </w:rPr>
        <w:t>×</w:t>
      </w:r>
      <w:r>
        <w:rPr>
          <w:rFonts w:ascii="微软雅黑" w:eastAsia="微软雅黑" w:hAnsi="微软雅黑" w:hint="eastAsia"/>
          <w:szCs w:val="21"/>
        </w:rPr>
        <w:t>360/365)]=</w:t>
      </w:r>
      <w:r>
        <w:rPr>
          <w:rFonts w:ascii="微软雅黑" w:eastAsia="微软雅黑" w:hAnsi="微软雅黑" w:hint="eastAsia"/>
          <w:szCs w:val="21"/>
        </w:rPr>
        <w:t>30.82</w:t>
      </w:r>
      <w:r>
        <w:rPr>
          <w:rFonts w:ascii="微软雅黑" w:eastAsia="微软雅黑" w:hAnsi="微软雅黑" w:hint="eastAsia"/>
          <w:szCs w:val="21"/>
        </w:rPr>
        <w:t>（元）</w:t>
      </w:r>
    </w:p>
    <w:p w14:paraId="06218E76"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w:t>
      </w:r>
    </w:p>
    <w:p w14:paraId="50630322"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w:t>
      </w:r>
      <w:r>
        <w:rPr>
          <w:rFonts w:ascii="微软雅黑" w:eastAsia="微软雅黑" w:hAnsi="微软雅黑" w:hint="eastAsia"/>
          <w:szCs w:val="21"/>
        </w:rPr>
        <w:t>应</w:t>
      </w:r>
      <w:r>
        <w:rPr>
          <w:rFonts w:ascii="微软雅黑" w:eastAsia="微软雅黑" w:hAnsi="微软雅黑" w:hint="eastAsia"/>
          <w:szCs w:val="21"/>
        </w:rPr>
        <w:t>得赎回金额</w:t>
      </w:r>
      <w:r>
        <w:rPr>
          <w:rFonts w:ascii="微软雅黑" w:eastAsia="微软雅黑" w:hAnsi="微软雅黑" w:hint="eastAsia"/>
          <w:szCs w:val="21"/>
        </w:rPr>
        <w:t>：</w:t>
      </w: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w:t>
      </w:r>
      <w:r>
        <w:rPr>
          <w:rFonts w:ascii="微软雅黑" w:eastAsia="微软雅黑" w:hAnsi="微软雅黑" w:hint="eastAsia"/>
          <w:szCs w:val="21"/>
        </w:rPr>
        <w:t>450</w:t>
      </w:r>
      <w:r>
        <w:rPr>
          <w:rFonts w:ascii="微软雅黑" w:eastAsia="微软雅黑" w:hAnsi="微软雅黑" w:hint="eastAsia"/>
          <w:szCs w:val="21"/>
        </w:rPr>
        <w:t>0000-</w:t>
      </w:r>
      <w:r>
        <w:rPr>
          <w:rFonts w:ascii="微软雅黑" w:eastAsia="微软雅黑" w:hAnsi="微软雅黑" w:hint="eastAsia"/>
          <w:szCs w:val="21"/>
        </w:rPr>
        <w:t>30.82</w:t>
      </w:r>
      <w:r>
        <w:rPr>
          <w:rFonts w:ascii="微软雅黑" w:eastAsia="微软雅黑" w:hAnsi="微软雅黑" w:hint="eastAsia"/>
          <w:szCs w:val="21"/>
        </w:rPr>
        <w:t xml:space="preserve">= </w:t>
      </w:r>
      <w:r>
        <w:rPr>
          <w:rFonts w:ascii="微软雅黑" w:eastAsia="微软雅黑" w:hAnsi="微软雅黑" w:hint="eastAsia"/>
          <w:szCs w:val="21"/>
        </w:rPr>
        <w:t>5</w:t>
      </w:r>
      <w:r>
        <w:rPr>
          <w:rFonts w:ascii="微软雅黑" w:eastAsia="微软雅黑" w:hAnsi="微软雅黑" w:hint="eastAsia"/>
          <w:szCs w:val="21"/>
        </w:rPr>
        <w:t>2,219.18</w:t>
      </w:r>
      <w:r>
        <w:rPr>
          <w:rFonts w:ascii="微软雅黑" w:eastAsia="微软雅黑" w:hAnsi="微软雅黑" w:hint="eastAsia"/>
          <w:szCs w:val="21"/>
        </w:rPr>
        <w:t>（元）。</w:t>
      </w:r>
    </w:p>
    <w:p w14:paraId="017C0706"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w:t>
      </w:r>
      <w:r>
        <w:rPr>
          <w:rFonts w:ascii="微软雅黑" w:eastAsia="微软雅黑" w:hAnsi="微软雅黑" w:hint="eastAsia"/>
          <w:szCs w:val="21"/>
        </w:rPr>
        <w:lastRenderedPageBreak/>
        <w:t>管理费</w:t>
      </w:r>
      <w:r>
        <w:rPr>
          <w:rFonts w:ascii="微软雅黑" w:eastAsia="微软雅黑" w:hAnsi="微软雅黑" w:hint="eastAsia"/>
          <w:szCs w:val="21"/>
        </w:rPr>
        <w:t>和其他费用</w:t>
      </w:r>
      <w:r>
        <w:rPr>
          <w:rFonts w:ascii="微软雅黑" w:eastAsia="微软雅黑" w:hAnsi="微软雅黑" w:hint="eastAsia"/>
          <w:szCs w:val="21"/>
        </w:rPr>
        <w:t>）后，投资</w:t>
      </w:r>
      <w:r>
        <w:rPr>
          <w:rFonts w:ascii="微软雅黑" w:eastAsia="微软雅黑" w:hAnsi="微软雅黑" w:hint="eastAsia"/>
          <w:szCs w:val="21"/>
        </w:rPr>
        <w:t>表现</w:t>
      </w:r>
      <w:r>
        <w:rPr>
          <w:rFonts w:ascii="微软雅黑" w:eastAsia="微软雅黑" w:hAnsi="微软雅黑" w:hint="eastAsia"/>
          <w:szCs w:val="21"/>
        </w:rPr>
        <w:t>未达到业绩比较基准</w:t>
      </w:r>
      <w:r>
        <w:rPr>
          <w:rFonts w:ascii="微软雅黑" w:eastAsia="微软雅黑" w:hAnsi="微软雅黑" w:hint="eastAsia"/>
          <w:szCs w:val="21"/>
        </w:rPr>
        <w:t>上限。</w:t>
      </w:r>
    </w:p>
    <w:p w14:paraId="0E26123A"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410</w:t>
      </w:r>
      <w:r>
        <w:rPr>
          <w:rFonts w:ascii="微软雅黑" w:eastAsia="微软雅黑" w:hAnsi="微软雅黑" w:hint="eastAsia"/>
          <w:szCs w:val="21"/>
        </w:rPr>
        <w:t>0000</w:t>
      </w:r>
      <w:r>
        <w:rPr>
          <w:rFonts w:ascii="微软雅黑" w:eastAsia="微软雅黑" w:hAnsi="微软雅黑" w:hint="eastAsia"/>
          <w:szCs w:val="21"/>
        </w:rPr>
        <w:t>，</w:t>
      </w:r>
    </w:p>
    <w:p w14:paraId="6595F284"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410</w:t>
      </w:r>
      <w:r>
        <w:rPr>
          <w:rFonts w:ascii="微软雅黑" w:eastAsia="微软雅黑" w:hAnsi="微软雅黑" w:hint="eastAsia"/>
          <w:szCs w:val="21"/>
        </w:rPr>
        <w:t>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w:t>
      </w:r>
      <w:r>
        <w:rPr>
          <w:rFonts w:ascii="微软雅黑" w:eastAsia="微软雅黑" w:hAnsi="微软雅黑" w:hint="eastAsia"/>
          <w:szCs w:val="21"/>
        </w:rPr>
        <w:t>4.16</w:t>
      </w:r>
      <w:r>
        <w:rPr>
          <w:rFonts w:ascii="微软雅黑" w:eastAsia="微软雅黑" w:hAnsi="微软雅黑"/>
          <w:szCs w:val="21"/>
        </w:rPr>
        <w:t>%&lt;</w:t>
      </w:r>
      <w:r>
        <w:rPr>
          <w:rFonts w:ascii="微软雅黑" w:eastAsia="微软雅黑" w:hAnsi="微软雅黑" w:hint="eastAsia"/>
          <w:szCs w:val="21"/>
        </w:rPr>
        <w:t>4</w:t>
      </w:r>
      <w:r>
        <w:rPr>
          <w:rFonts w:ascii="微软雅黑" w:eastAsia="微软雅黑" w:hAnsi="微软雅黑"/>
          <w:szCs w:val="21"/>
        </w:rPr>
        <w:t>.</w:t>
      </w:r>
      <w:r>
        <w:rPr>
          <w:rFonts w:ascii="微软雅黑" w:eastAsia="微软雅黑" w:hAnsi="微软雅黑" w:hint="eastAsia"/>
          <w:szCs w:val="21"/>
        </w:rPr>
        <w:t>5</w:t>
      </w:r>
      <w:r>
        <w:rPr>
          <w:rFonts w:ascii="微软雅黑" w:eastAsia="微软雅黑" w:hAnsi="微软雅黑"/>
          <w:szCs w:val="21"/>
        </w:rPr>
        <w:t>0%</w:t>
      </w:r>
      <w:r>
        <w:rPr>
          <w:rFonts w:ascii="微软雅黑" w:eastAsia="微软雅黑" w:hAnsi="微软雅黑" w:hint="eastAsia"/>
          <w:szCs w:val="21"/>
        </w:rPr>
        <w:t>，即投资</w:t>
      </w:r>
      <w:r>
        <w:rPr>
          <w:rFonts w:ascii="微软雅黑" w:eastAsia="微软雅黑" w:hAnsi="微软雅黑" w:hint="eastAsia"/>
          <w:szCs w:val="21"/>
        </w:rPr>
        <w:t>表现</w:t>
      </w:r>
      <w:r>
        <w:rPr>
          <w:rFonts w:ascii="微软雅黑" w:eastAsia="微软雅黑" w:hAnsi="微软雅黑" w:hint="eastAsia"/>
          <w:szCs w:val="21"/>
        </w:rPr>
        <w:t>未达到业绩比较基准</w:t>
      </w:r>
      <w:r>
        <w:rPr>
          <w:rFonts w:ascii="微软雅黑" w:eastAsia="微软雅黑" w:hAnsi="微软雅黑" w:hint="eastAsia"/>
          <w:szCs w:val="21"/>
        </w:rPr>
        <w:t>上限</w:t>
      </w:r>
      <w:r>
        <w:rPr>
          <w:rFonts w:ascii="微软雅黑" w:eastAsia="微软雅黑" w:hAnsi="微软雅黑" w:hint="eastAsia"/>
          <w:szCs w:val="21"/>
        </w:rPr>
        <w:t>，此时，珠海华润银行不收取浮动投资管理费</w:t>
      </w:r>
      <w:r>
        <w:rPr>
          <w:rFonts w:ascii="微软雅黑" w:eastAsia="微软雅黑" w:hAnsi="微软雅黑" w:hint="eastAsia"/>
          <w:szCs w:val="21"/>
        </w:rPr>
        <w:t>。</w:t>
      </w:r>
    </w:p>
    <w:p w14:paraId="4485A72E"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w:t>
      </w: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410</w:t>
      </w:r>
      <w:r>
        <w:rPr>
          <w:rFonts w:ascii="微软雅黑" w:eastAsia="微软雅黑" w:hAnsi="微软雅黑" w:hint="eastAsia"/>
          <w:szCs w:val="21"/>
        </w:rPr>
        <w:t>0000= 52,050.00</w:t>
      </w:r>
      <w:r>
        <w:rPr>
          <w:rFonts w:ascii="微软雅黑" w:eastAsia="微软雅黑" w:hAnsi="微软雅黑" w:hint="eastAsia"/>
          <w:szCs w:val="21"/>
        </w:rPr>
        <w:t>（</w:t>
      </w:r>
      <w:r>
        <w:rPr>
          <w:rFonts w:ascii="微软雅黑" w:eastAsia="微软雅黑" w:hAnsi="微软雅黑" w:hint="eastAsia"/>
          <w:szCs w:val="21"/>
        </w:rPr>
        <w:t>元）。</w:t>
      </w:r>
    </w:p>
    <w:p w14:paraId="566B5D30"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w:t>
      </w:r>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w:t>
      </w:r>
      <w:r>
        <w:rPr>
          <w:rFonts w:ascii="微软雅黑" w:eastAsia="微软雅黑" w:hAnsi="微软雅黑" w:hint="eastAsia"/>
          <w:szCs w:val="21"/>
        </w:rPr>
        <w:t>，产品净值低于</w:t>
      </w:r>
      <w:r>
        <w:rPr>
          <w:rFonts w:ascii="微软雅黑" w:eastAsia="微软雅黑" w:hAnsi="微软雅黑" w:hint="eastAsia"/>
          <w:szCs w:val="21"/>
        </w:rPr>
        <w:t>1</w:t>
      </w:r>
      <w:r>
        <w:rPr>
          <w:rFonts w:ascii="微软雅黑" w:eastAsia="微软雅黑" w:hAnsi="微软雅黑" w:hint="eastAsia"/>
          <w:szCs w:val="21"/>
        </w:rPr>
        <w:t>，客户出现本金亏损。假设赎回时产品净值</w:t>
      </w:r>
      <w:r>
        <w:rPr>
          <w:rFonts w:ascii="微软雅黑" w:eastAsia="微软雅黑" w:hAnsi="微软雅黑" w:hint="eastAsia"/>
          <w:szCs w:val="21"/>
        </w:rPr>
        <w:t>为</w:t>
      </w:r>
      <w:r>
        <w:rPr>
          <w:rFonts w:ascii="微软雅黑" w:eastAsia="微软雅黑" w:hAnsi="微软雅黑" w:hint="eastAsia"/>
          <w:szCs w:val="21"/>
        </w:rPr>
        <w:t>0.99980000</w:t>
      </w:r>
      <w:r>
        <w:rPr>
          <w:rFonts w:ascii="微软雅黑" w:eastAsia="微软雅黑" w:hAnsi="微软雅黑" w:hint="eastAsia"/>
          <w:szCs w:val="21"/>
        </w:rPr>
        <w:t>，</w:t>
      </w:r>
    </w:p>
    <w:p w14:paraId="6FE2CD3B"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w:t>
      </w: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0.99980000= 49,990.00</w:t>
      </w:r>
      <w:r>
        <w:rPr>
          <w:rFonts w:ascii="微软雅黑" w:eastAsia="微软雅黑" w:hAnsi="微软雅黑" w:hint="eastAsia"/>
          <w:szCs w:val="21"/>
        </w:rPr>
        <w:t>（元）</w:t>
      </w:r>
    </w:p>
    <w:p w14:paraId="6AE8459F"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14:paraId="6BC3C1E5" w14:textId="77777777" w:rsidR="00476AF5" w:rsidRDefault="00476AF5">
      <w:pPr>
        <w:spacing w:line="320" w:lineRule="exact"/>
        <w:ind w:firstLineChars="200" w:firstLine="420"/>
        <w:rPr>
          <w:rFonts w:ascii="微软雅黑" w:eastAsia="微软雅黑" w:hAnsi="微软雅黑"/>
          <w:szCs w:val="21"/>
        </w:rPr>
      </w:pPr>
    </w:p>
    <w:p w14:paraId="4FF26600" w14:textId="77777777" w:rsidR="00476AF5" w:rsidRDefault="00F4311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14:paraId="213FF8ED" w14:textId="77777777" w:rsidR="00476AF5" w:rsidRDefault="00F43115">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（一）估值日</w:t>
      </w:r>
    </w:p>
    <w:p w14:paraId="2E3D574B"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14:paraId="024A9EC2" w14:textId="77777777" w:rsidR="00476AF5" w:rsidRDefault="00F43115">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（二）估值对象</w:t>
      </w:r>
    </w:p>
    <w:p w14:paraId="03B92909"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14:paraId="7167E65B" w14:textId="77777777" w:rsidR="00476AF5" w:rsidRDefault="00F43115">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（三）估值方法</w:t>
      </w:r>
    </w:p>
    <w:p w14:paraId="39FD28B6"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14:paraId="400F9BD1"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14:paraId="31D988A1"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回购等以本金列示，逐日计提利息；</w:t>
      </w:r>
    </w:p>
    <w:p w14:paraId="015B4AF4"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14:paraId="26572A8A"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14:paraId="7907B6F0"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）原则上以公允价值计量，可选取第三方估值机构（中债、中证等）提供的估</w:t>
      </w:r>
      <w:r>
        <w:rPr>
          <w:rFonts w:ascii="微软雅黑" w:eastAsia="微软雅黑" w:hAnsi="微软雅黑" w:hint="eastAsia"/>
          <w:szCs w:val="21"/>
        </w:rPr>
        <w:t>值价格、收盘价、或其他估值技术确定公允价值</w:t>
      </w:r>
      <w:r>
        <w:rPr>
          <w:rFonts w:ascii="微软雅黑" w:eastAsia="微软雅黑" w:hAnsi="微软雅黑" w:hint="eastAsia"/>
          <w:szCs w:val="21"/>
        </w:rPr>
        <w:t>；</w:t>
      </w:r>
    </w:p>
    <w:p w14:paraId="3802137B"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）以收取合同现金流量为目的并持有到期为目的，按照企业会计准则要求，以摊</w:t>
      </w:r>
      <w:proofErr w:type="gramStart"/>
      <w:r>
        <w:rPr>
          <w:rFonts w:ascii="微软雅黑" w:eastAsia="微软雅黑" w:hAnsi="微软雅黑" w:hint="eastAsia"/>
          <w:szCs w:val="21"/>
        </w:rPr>
        <w:t>余成本</w:t>
      </w:r>
      <w:proofErr w:type="gramEnd"/>
      <w:r>
        <w:rPr>
          <w:rFonts w:ascii="微软雅黑" w:eastAsia="微软雅黑" w:hAnsi="微软雅黑" w:hint="eastAsia"/>
          <w:szCs w:val="21"/>
        </w:rPr>
        <w:t>法估值</w:t>
      </w:r>
      <w:r>
        <w:rPr>
          <w:rFonts w:ascii="微软雅黑" w:eastAsia="微软雅黑" w:hAnsi="微软雅黑" w:hint="eastAsia"/>
          <w:szCs w:val="21"/>
        </w:rPr>
        <w:t>。</w:t>
      </w:r>
    </w:p>
    <w:p w14:paraId="42B22256"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14:paraId="46DC101D"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14:paraId="0362FE55"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w:t>
      </w:r>
      <w:proofErr w:type="gramStart"/>
      <w:r>
        <w:rPr>
          <w:rFonts w:ascii="微软雅黑" w:eastAsia="微软雅黑" w:hAnsi="微软雅黑" w:hint="eastAsia"/>
          <w:szCs w:val="21"/>
        </w:rPr>
        <w:t>无活跃</w:t>
      </w:r>
      <w:proofErr w:type="gramEnd"/>
      <w:r>
        <w:rPr>
          <w:rFonts w:ascii="微软雅黑" w:eastAsia="微软雅黑" w:hAnsi="微软雅黑" w:hint="eastAsia"/>
          <w:szCs w:val="21"/>
        </w:rPr>
        <w:t>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14:paraId="07C3B589"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14:paraId="7A17F426"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14:paraId="03FE5C88"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w:t>
      </w:r>
      <w:r>
        <w:rPr>
          <w:rFonts w:ascii="微软雅黑" w:eastAsia="微软雅黑" w:hAnsi="微软雅黑" w:hint="eastAsia"/>
          <w:szCs w:val="21"/>
        </w:rPr>
        <w:t>值。</w:t>
      </w:r>
    </w:p>
    <w:p w14:paraId="5030714C" w14:textId="77777777" w:rsidR="00476AF5" w:rsidRDefault="00F43115">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14:paraId="6D774AAC" w14:textId="77777777" w:rsidR="00476AF5" w:rsidRDefault="00F43115">
      <w:pPr>
        <w:numPr>
          <w:ilvl w:val="255"/>
          <w:numId w:val="0"/>
        </w:numPr>
        <w:spacing w:line="320" w:lineRule="exact"/>
        <w:ind w:firstLineChars="100" w:firstLine="210"/>
        <w:rPr>
          <w:rFonts w:ascii="微软雅黑" w:eastAsia="微软雅黑" w:hAnsi="微软雅黑"/>
          <w:b/>
          <w:bCs/>
          <w:szCs w:val="21"/>
        </w:rPr>
      </w:pPr>
      <w:r>
        <w:rPr>
          <w:rFonts w:ascii="微软雅黑" w:eastAsia="微软雅黑" w:hAnsi="微软雅黑" w:hint="eastAsia"/>
          <w:b/>
          <w:bCs/>
          <w:szCs w:val="21"/>
        </w:rPr>
        <w:t>（五）估值错误的处理</w:t>
      </w:r>
    </w:p>
    <w:p w14:paraId="14788F10" w14:textId="77777777" w:rsidR="00476AF5" w:rsidRDefault="00F43115">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本理财产品管理人和理财产品托管人将采取必要、适当、合理的措施确保本理财产品估值的准确性、及时性。</w:t>
      </w:r>
    </w:p>
    <w:p w14:paraId="701525E9" w14:textId="77777777" w:rsidR="00476AF5" w:rsidRDefault="00F43115">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估值错误处理原则</w:t>
      </w:r>
    </w:p>
    <w:p w14:paraId="765C5852" w14:textId="77777777" w:rsidR="00476AF5" w:rsidRDefault="00F43115">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由于理财产品管理人或理财产品托管人自身的过错造成估值错误，导致投资者遭受损失的，由估值错误责任方按照各自过错程度对该估值错误导致投资者遭受的直接损失给予赔偿，承担赔偿责任；</w:t>
      </w:r>
    </w:p>
    <w:p w14:paraId="4FB54B95" w14:textId="77777777" w:rsidR="00476AF5" w:rsidRDefault="00F43115">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14:paraId="79216E77" w14:textId="77777777" w:rsidR="00476AF5" w:rsidRDefault="00F43115">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因理财产品托管人估值错误造成财产损失时，理财产品管理人应向托管人追偿。若理财产品管理人和理财产品托管人之外的第三方估值差错造成财产的</w:t>
      </w:r>
      <w:r>
        <w:rPr>
          <w:rFonts w:ascii="微软雅黑" w:eastAsia="微软雅黑" w:hAnsi="微软雅黑" w:hint="eastAsia"/>
          <w:szCs w:val="21"/>
        </w:rPr>
        <w:t>损失，并拒绝进行赔偿时，理财产品由理财产品管理人负责向差错方追偿；追偿过程中产生的有关费用，应列入理财产品费用，由理财产品承担；</w:t>
      </w:r>
    </w:p>
    <w:p w14:paraId="1297B52F" w14:textId="77777777" w:rsidR="00476AF5" w:rsidRDefault="00F43115">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当估值出现错误时，因估值错误而获得不当得利的投资者负有及时返还不当得利的义务；</w:t>
      </w:r>
    </w:p>
    <w:p w14:paraId="610E798E" w14:textId="77777777" w:rsidR="00476AF5" w:rsidRDefault="00F43115">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按法律法规规定的其他估值原则处理估值错误。</w:t>
      </w:r>
    </w:p>
    <w:p w14:paraId="035A203F" w14:textId="77777777" w:rsidR="00476AF5" w:rsidRDefault="00F43115">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估值错误处理程序</w:t>
      </w:r>
    </w:p>
    <w:p w14:paraId="3393B454" w14:textId="77777777" w:rsidR="00476AF5" w:rsidRDefault="00F43115">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估值错误被发现后，理财产品管理人和理财产品托管人应当及时进行处理，处理的程序如下：</w:t>
      </w:r>
    </w:p>
    <w:p w14:paraId="4479D122" w14:textId="77777777" w:rsidR="00476AF5" w:rsidRDefault="00F43115">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查明估值错误发生的原因，列明所有的管理人和托管人并根据估值错误发生的原因确定估值错误的责任方；</w:t>
      </w:r>
    </w:p>
    <w:p w14:paraId="1058DE4B" w14:textId="77777777" w:rsidR="00476AF5" w:rsidRDefault="00F43115">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根据估值错误处理原则对因估值错误造成的损失进行评估；</w:t>
      </w:r>
    </w:p>
    <w:p w14:paraId="3C54AE06" w14:textId="77777777" w:rsidR="00476AF5" w:rsidRDefault="00F43115">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根</w:t>
      </w:r>
      <w:r>
        <w:rPr>
          <w:rFonts w:ascii="微软雅黑" w:eastAsia="微软雅黑" w:hAnsi="微软雅黑" w:hint="eastAsia"/>
          <w:szCs w:val="21"/>
        </w:rPr>
        <w:t>据理财产品管理人和理财产品托管人协商的方法，由理财产品管理人和理财产品牌托管人共同进行更正，由估值错误的责任方进行赔偿损失。</w:t>
      </w:r>
    </w:p>
    <w:p w14:paraId="17A500A9" w14:textId="77777777" w:rsidR="00476AF5" w:rsidRDefault="00F43115">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特殊情况的处理</w:t>
      </w:r>
    </w:p>
    <w:p w14:paraId="30171D20" w14:textId="77777777" w:rsidR="00476AF5" w:rsidRDefault="00F43115">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理财产品管理人、理财产品托管人按照本说明书估值方法进行估值时，所造成的误差不作为估值错误处理；</w:t>
      </w:r>
    </w:p>
    <w:p w14:paraId="01C52447" w14:textId="77777777" w:rsidR="00476AF5" w:rsidRDefault="00F43115">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w:t>
      </w:r>
      <w:r>
        <w:rPr>
          <w:rFonts w:ascii="微软雅黑" w:eastAsia="微软雅黑" w:hAnsi="微软雅黑" w:hint="eastAsia"/>
          <w:szCs w:val="21"/>
        </w:rPr>
        <w:t>责任。但理财产品管理人、理财产品托管人应当积极采取必要的措施减轻或消除由此造成的影响；</w:t>
      </w:r>
    </w:p>
    <w:p w14:paraId="030D6E7F" w14:textId="77777777" w:rsidR="00476AF5" w:rsidRDefault="00F43115">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前述内容如法律法规、监管机关另有规定的，或有关会计准则发生变化等，按照国家最新规定或理财产品管理</w:t>
      </w:r>
      <w:proofErr w:type="gramStart"/>
      <w:r>
        <w:rPr>
          <w:rFonts w:ascii="微软雅黑" w:eastAsia="微软雅黑" w:hAnsi="微软雅黑" w:hint="eastAsia"/>
          <w:szCs w:val="21"/>
        </w:rPr>
        <w:t>人最新</w:t>
      </w:r>
      <w:proofErr w:type="gramEnd"/>
      <w:r>
        <w:rPr>
          <w:rFonts w:ascii="微软雅黑" w:eastAsia="微软雅黑" w:hAnsi="微软雅黑" w:hint="eastAsia"/>
          <w:szCs w:val="21"/>
        </w:rPr>
        <w:t>约定估值。如果行业另有通行做法，理财产品管理人和理财产品托管人本着平等和保护份额持有人利益的原则进行协商。</w:t>
      </w:r>
    </w:p>
    <w:p w14:paraId="3554A22E" w14:textId="77777777" w:rsidR="00476AF5" w:rsidRDefault="00F43115">
      <w:pPr>
        <w:spacing w:line="320" w:lineRule="exact"/>
        <w:ind w:firstLineChars="100" w:firstLine="210"/>
        <w:rPr>
          <w:rFonts w:ascii="微软雅黑" w:eastAsia="微软雅黑" w:hAnsi="微软雅黑"/>
          <w:b/>
          <w:bCs/>
          <w:szCs w:val="21"/>
        </w:rPr>
      </w:pPr>
      <w:r>
        <w:rPr>
          <w:rFonts w:ascii="微软雅黑" w:eastAsia="微软雅黑" w:hAnsi="微软雅黑" w:hint="eastAsia"/>
          <w:b/>
          <w:bCs/>
          <w:szCs w:val="21"/>
        </w:rPr>
        <w:t>（六）暂停估值的情形</w:t>
      </w:r>
    </w:p>
    <w:p w14:paraId="0ADE975A" w14:textId="77777777" w:rsidR="00476AF5" w:rsidRDefault="00F43115">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当资产估值因不可抗力或其他情形致使本产品管理人和托管人无法准确评估资产价值时；</w:t>
      </w:r>
    </w:p>
    <w:p w14:paraId="1860FEF6" w14:textId="77777777" w:rsidR="00476AF5" w:rsidRDefault="00F43115">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理财产品投资所涉及的交易市场遇法定节假日或其他原因暂停营业时；</w:t>
      </w:r>
    </w:p>
    <w:p w14:paraId="5C21DDBC" w14:textId="77777777" w:rsidR="00476AF5" w:rsidRDefault="00F43115">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理财产品投资的其他资产产品合同约定暂停估值或无法估值的情形发生，致使理财产品无法估值时；</w:t>
      </w:r>
    </w:p>
    <w:p w14:paraId="1A44623F" w14:textId="77777777" w:rsidR="00476AF5" w:rsidRDefault="00F43115">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中国银保监会认定的其他情形或理财产品管理人、理财产品托管人有合理理由认为将影响理财产品估值的其他情形。</w:t>
      </w:r>
    </w:p>
    <w:p w14:paraId="4C79C268" w14:textId="77777777" w:rsidR="00476AF5" w:rsidRDefault="00F43115">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遇以上情形，管理人可暂停本产品估值直至另行通知。</w:t>
      </w:r>
    </w:p>
    <w:p w14:paraId="76240078" w14:textId="77777777" w:rsidR="00476AF5" w:rsidRDefault="00F43115">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14:paraId="5E3302FD"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珠海华润银行将及时在各营业网点或官方网站或珠海华润银行认为适当的其他渠道，发布产品的相关公告，具体公告分类如下：</w:t>
      </w:r>
    </w:p>
    <w:p w14:paraId="66068670"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w:t>
      </w:r>
      <w:r>
        <w:rPr>
          <w:rFonts w:ascii="微软雅黑" w:eastAsia="微软雅黑" w:hAnsi="微软雅黑" w:hint="eastAsia"/>
          <w:szCs w:val="21"/>
        </w:rPr>
        <w:t>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14:paraId="2360716C"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14:paraId="45EC03F1"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理财产品存续期间，珠海华润银行将于每周公</w:t>
      </w:r>
      <w:proofErr w:type="gramStart"/>
      <w:r>
        <w:rPr>
          <w:rFonts w:ascii="微软雅黑" w:eastAsia="微软雅黑" w:hAnsi="微软雅黑" w:hint="eastAsia"/>
          <w:szCs w:val="21"/>
        </w:rPr>
        <w:t>告产品</w:t>
      </w:r>
      <w:proofErr w:type="gramEnd"/>
      <w:r>
        <w:rPr>
          <w:rFonts w:ascii="微软雅黑" w:eastAsia="微软雅黑" w:hAnsi="微软雅黑" w:hint="eastAsia"/>
          <w:szCs w:val="21"/>
        </w:rPr>
        <w:t>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w:t>
      </w:r>
      <w:r>
        <w:rPr>
          <w:rFonts w:ascii="微软雅黑" w:eastAsia="微软雅黑" w:hAnsi="微软雅黑" w:hint="eastAsia"/>
          <w:szCs w:val="21"/>
        </w:rPr>
        <w:t>（理财产品成立不足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14:paraId="0A6007E0"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14:paraId="211ACF41"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14:paraId="1C8DB0E7" w14:textId="77777777" w:rsidR="00476AF5" w:rsidRDefault="00F43115">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1" w:name="_Hlt97867810"/>
      <w:bookmarkEnd w:id="1"/>
    </w:p>
    <w:p w14:paraId="02C861EB" w14:textId="77777777" w:rsidR="00476AF5" w:rsidRDefault="00476AF5">
      <w:pPr>
        <w:spacing w:line="320" w:lineRule="exact"/>
      </w:pPr>
    </w:p>
    <w:p w14:paraId="5C61193C" w14:textId="77777777" w:rsidR="00476AF5" w:rsidRDefault="00476AF5">
      <w:pPr>
        <w:spacing w:line="320" w:lineRule="exact"/>
      </w:pPr>
    </w:p>
    <w:p w14:paraId="1411FABA" w14:textId="77777777" w:rsidR="00476AF5" w:rsidRDefault="00476AF5">
      <w:pPr>
        <w:spacing w:line="320" w:lineRule="exact"/>
        <w:rPr>
          <w:rFonts w:ascii="微软雅黑" w:eastAsia="微软雅黑" w:hAnsi="微软雅黑"/>
          <w:szCs w:val="21"/>
        </w:rPr>
      </w:pPr>
    </w:p>
    <w:p w14:paraId="10CC7994" w14:textId="77777777" w:rsidR="00476AF5" w:rsidRDefault="00476AF5"/>
    <w:sectPr w:rsidR="00476AF5">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8A689" w14:textId="77777777" w:rsidR="00F43115" w:rsidRDefault="00F43115">
      <w:r>
        <w:separator/>
      </w:r>
    </w:p>
  </w:endnote>
  <w:endnote w:type="continuationSeparator" w:id="0">
    <w:p w14:paraId="254C29B4" w14:textId="77777777" w:rsidR="00F43115" w:rsidRDefault="00F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1B17" w14:textId="77777777" w:rsidR="00476AF5" w:rsidRDefault="00F43115">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14:paraId="68C62B9A" w14:textId="77777777" w:rsidR="00476AF5" w:rsidRDefault="00476A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631BE" w14:textId="77777777" w:rsidR="00F43115" w:rsidRDefault="00F43115">
      <w:r>
        <w:separator/>
      </w:r>
    </w:p>
  </w:footnote>
  <w:footnote w:type="continuationSeparator" w:id="0">
    <w:p w14:paraId="4AF3C510" w14:textId="77777777" w:rsidR="00F43115" w:rsidRDefault="00F4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A5CC" w14:textId="77777777" w:rsidR="00476AF5" w:rsidRDefault="00F43115">
    <w:pPr>
      <w:pStyle w:val="a5"/>
      <w:pBdr>
        <w:bottom w:val="single" w:sz="4" w:space="0" w:color="auto"/>
      </w:pBdr>
      <w:jc w:val="left"/>
      <w:rPr>
        <w:rFonts w:ascii="微软雅黑" w:eastAsia="微软雅黑" w:hAnsi="微软雅黑"/>
        <w:b/>
      </w:rPr>
    </w:pPr>
    <w:r>
      <w:rPr>
        <w:noProof/>
      </w:rPr>
      <w:drawing>
        <wp:inline distT="0" distB="0" distL="114300" distR="114300" wp14:anchorId="3BC96FFC" wp14:editId="39D9DE67">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w:t>
    </w:r>
    <w:r>
      <w:rPr>
        <w:rFonts w:ascii="微软雅黑" w:eastAsia="微软雅黑" w:hAnsi="微软雅黑" w:hint="eastAsia"/>
        <w:b/>
      </w:rPr>
      <w:t>2205</w:t>
    </w:r>
    <w:r>
      <w:rPr>
        <w:rFonts w:ascii="微软雅黑" w:eastAsia="微软雅黑" w:hAnsi="微软雅黑" w:hint="eastAsia"/>
        <w:b/>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D2CFD5"/>
    <w:multiLevelType w:val="singleLevel"/>
    <w:tmpl w:val="98D2CFD5"/>
    <w:lvl w:ilvl="0">
      <w:start w:val="1"/>
      <w:numFmt w:val="decimal"/>
      <w:suff w:val="nothing"/>
      <w:lvlText w:val="（%1）"/>
      <w:lvlJc w:val="left"/>
    </w:lvl>
  </w:abstractNum>
  <w:abstractNum w:abstractNumId="1" w15:restartNumberingAfterBreak="0">
    <w:nsid w:val="CADA6CA3"/>
    <w:multiLevelType w:val="singleLevel"/>
    <w:tmpl w:val="CADA6CA3"/>
    <w:lvl w:ilvl="0">
      <w:start w:val="1"/>
      <w:numFmt w:val="decimal"/>
      <w:suff w:val="nothing"/>
      <w:lvlText w:val="（%1）"/>
      <w:lvlJc w:val="left"/>
    </w:lvl>
  </w:abstractNum>
  <w:abstractNum w:abstractNumId="2" w15:restartNumberingAfterBreak="0">
    <w:nsid w:val="03DE00D4"/>
    <w:multiLevelType w:val="singleLevel"/>
    <w:tmpl w:val="03DE00D4"/>
    <w:lvl w:ilvl="0">
      <w:start w:val="1"/>
      <w:numFmt w:val="decimal"/>
      <w:suff w:val="nothing"/>
      <w:lvlText w:val="（%1）"/>
      <w:lvlJc w:val="left"/>
    </w:lvl>
  </w:abstractNum>
  <w:abstractNum w:abstractNumId="3" w15:restartNumberingAfterBreak="0">
    <w:nsid w:val="2323918F"/>
    <w:multiLevelType w:val="singleLevel"/>
    <w:tmpl w:val="2323918F"/>
    <w:lvl w:ilvl="0">
      <w:start w:val="2"/>
      <w:numFmt w:val="chineseCounting"/>
      <w:suff w:val="nothing"/>
      <w:lvlText w:val="%1、"/>
      <w:lvlJc w:val="left"/>
      <w:rPr>
        <w:rFonts w:hint="eastAsia"/>
      </w:rPr>
    </w:lvl>
  </w:abstractNum>
  <w:abstractNum w:abstractNumId="4" w15:restartNumberingAfterBreak="0">
    <w:nsid w:val="744B48CE"/>
    <w:multiLevelType w:val="singleLevel"/>
    <w:tmpl w:val="744B48CE"/>
    <w:lvl w:ilvl="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F5"/>
    <w:rsid w:val="0006137B"/>
    <w:rsid w:val="00476AF5"/>
    <w:rsid w:val="00F43115"/>
    <w:rsid w:val="01881AE7"/>
    <w:rsid w:val="05AD1DE5"/>
    <w:rsid w:val="09825DF4"/>
    <w:rsid w:val="0EEC3F08"/>
    <w:rsid w:val="0F394F64"/>
    <w:rsid w:val="10475161"/>
    <w:rsid w:val="125A041C"/>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5CFA69B1"/>
    <w:rsid w:val="60567BFB"/>
    <w:rsid w:val="61271414"/>
    <w:rsid w:val="634E46E0"/>
    <w:rsid w:val="640475B9"/>
    <w:rsid w:val="695D0F78"/>
    <w:rsid w:val="69A2714C"/>
    <w:rsid w:val="6A284D5E"/>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51BD9"/>
  <w15:docId w15:val="{CC83BB04-5094-4DEE-BE9D-E72716F8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linaina1</dc:creator>
  <cp:lastModifiedBy>柯俊杰</cp:lastModifiedBy>
  <cp:revision>2</cp:revision>
  <dcterms:created xsi:type="dcterms:W3CDTF">2022-08-30T03:08:00Z</dcterms:created>
  <dcterms:modified xsi:type="dcterms:W3CDTF">2022-08-30T03:08:00Z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