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25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25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25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C1082922000040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[3.60%,3.90%]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35414"/>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7144135F"/>
    <w:rsid w:val="77D00A8D"/>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2022-07-19T01:55:04Z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