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FD" w:rsidRDefault="008326FD">
      <w:pPr>
        <w:spacing w:line="320" w:lineRule="exact"/>
        <w:rPr>
          <w:rFonts w:ascii="微软雅黑" w:eastAsia="微软雅黑" w:hAnsi="微软雅黑"/>
          <w:b/>
          <w:sz w:val="28"/>
          <w:szCs w:val="28"/>
        </w:rPr>
      </w:pPr>
      <w:bookmarkStart w:id="0" w:name="_GoBack"/>
      <w:bookmarkEnd w:id="0"/>
    </w:p>
    <w:p w:rsidR="008326FD" w:rsidRDefault="00256501">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197</w:t>
      </w:r>
      <w:r>
        <w:rPr>
          <w:rFonts w:ascii="微软雅黑" w:eastAsia="微软雅黑" w:hAnsi="微软雅黑" w:hint="eastAsia"/>
          <w:b/>
          <w:sz w:val="28"/>
          <w:szCs w:val="28"/>
        </w:rPr>
        <w:t>期理财产品说明书</w:t>
      </w:r>
    </w:p>
    <w:p w:rsidR="008326FD" w:rsidRDefault="008326FD">
      <w:pPr>
        <w:spacing w:line="320" w:lineRule="exact"/>
        <w:rPr>
          <w:rFonts w:ascii="微软雅黑" w:eastAsia="微软雅黑" w:hAnsi="微软雅黑"/>
          <w:szCs w:val="21"/>
        </w:rPr>
      </w:pPr>
    </w:p>
    <w:p w:rsidR="008326FD" w:rsidRDefault="00256501">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8326FD">
        <w:trPr>
          <w:jc w:val="center"/>
        </w:trPr>
        <w:tc>
          <w:tcPr>
            <w:tcW w:w="2014"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8326FD" w:rsidRDefault="00256501">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197</w:t>
            </w:r>
            <w:r>
              <w:rPr>
                <w:rFonts w:ascii="微软雅黑" w:eastAsia="微软雅黑" w:hAnsi="微软雅黑" w:hint="eastAsia"/>
                <w:szCs w:val="21"/>
              </w:rPr>
              <w:t>期理财产品</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8326FD" w:rsidRDefault="00256501">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197</w:t>
            </w:r>
            <w:r>
              <w:rPr>
                <w:rFonts w:ascii="微软雅黑" w:eastAsia="微软雅黑" w:hAnsi="微软雅黑" w:hint="eastAsia"/>
                <w:szCs w:val="21"/>
              </w:rPr>
              <w:t>期</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RY10197</w:t>
            </w:r>
          </w:p>
        </w:tc>
      </w:tr>
      <w:tr w:rsidR="008326FD">
        <w:trPr>
          <w:jc w:val="center"/>
        </w:trPr>
        <w:tc>
          <w:tcPr>
            <w:tcW w:w="2014" w:type="dxa"/>
            <w:vAlign w:val="center"/>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C1082922000012</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8326FD">
        <w:trPr>
          <w:trHeight w:val="260"/>
          <w:jc w:val="center"/>
        </w:trPr>
        <w:tc>
          <w:tcPr>
            <w:tcW w:w="2014"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326FD">
        <w:trPr>
          <w:jc w:val="center"/>
        </w:trPr>
        <w:tc>
          <w:tcPr>
            <w:tcW w:w="2014"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5100</w:t>
            </w:r>
            <w:r>
              <w:rPr>
                <w:rFonts w:ascii="微软雅黑" w:eastAsia="微软雅黑" w:hAnsi="微软雅黑" w:hint="eastAsia"/>
                <w:szCs w:val="21"/>
              </w:rPr>
              <w:t>万</w:t>
            </w:r>
            <w:r>
              <w:rPr>
                <w:rFonts w:ascii="微软雅黑" w:eastAsia="微软雅黑" w:hAnsi="微软雅黑"/>
                <w:szCs w:val="21"/>
              </w:rPr>
              <w:t>元。</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04</w:t>
            </w:r>
            <w:r>
              <w:rPr>
                <w:rFonts w:ascii="微软雅黑" w:eastAsia="微软雅黑" w:hAnsi="微软雅黑" w:hint="eastAsia"/>
                <w:szCs w:val="21"/>
                <w:u w:val="single"/>
              </w:rPr>
              <w:t>月</w:t>
            </w:r>
            <w:r>
              <w:rPr>
                <w:rFonts w:ascii="微软雅黑" w:eastAsia="微软雅黑" w:hAnsi="微软雅黑" w:hint="eastAsia"/>
                <w:szCs w:val="21"/>
                <w:u w:val="single"/>
              </w:rPr>
              <w:t>07</w:t>
            </w:r>
            <w:r>
              <w:rPr>
                <w:rFonts w:ascii="微软雅黑" w:eastAsia="微软雅黑" w:hAnsi="微软雅黑" w:hint="eastAsia"/>
                <w:szCs w:val="21"/>
                <w:u w:val="single"/>
              </w:rPr>
              <w:t>日</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07</w:t>
            </w:r>
            <w:r>
              <w:rPr>
                <w:rFonts w:ascii="微软雅黑" w:eastAsia="微软雅黑" w:hAnsi="微软雅黑" w:hint="eastAsia"/>
                <w:szCs w:val="21"/>
                <w:u w:val="single"/>
              </w:rPr>
              <w:t>月</w:t>
            </w:r>
            <w:r>
              <w:rPr>
                <w:rFonts w:ascii="微软雅黑" w:eastAsia="微软雅黑" w:hAnsi="微软雅黑" w:hint="eastAsia"/>
                <w:szCs w:val="21"/>
                <w:u w:val="single"/>
              </w:rPr>
              <w:t>14</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8326FD" w:rsidRDefault="00256501">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8326FD">
        <w:trPr>
          <w:jc w:val="center"/>
        </w:trPr>
        <w:tc>
          <w:tcPr>
            <w:tcW w:w="2014"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8326FD" w:rsidRDefault="00256501">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认购期</w:t>
            </w:r>
          </w:p>
          <w:p w:rsidR="008326FD" w:rsidRDefault="008326FD">
            <w:pPr>
              <w:spacing w:line="320" w:lineRule="exact"/>
              <w:rPr>
                <w:rFonts w:ascii="微软雅黑" w:eastAsia="微软雅黑" w:hAnsi="微软雅黑"/>
                <w:b/>
                <w:szCs w:val="21"/>
              </w:rPr>
            </w:pPr>
          </w:p>
        </w:tc>
        <w:tc>
          <w:tcPr>
            <w:tcW w:w="7200"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30</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06</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8326FD">
        <w:trPr>
          <w:jc w:val="center"/>
        </w:trPr>
        <w:tc>
          <w:tcPr>
            <w:tcW w:w="2014"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8326FD">
        <w:trPr>
          <w:trHeight w:val="322"/>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4.00</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w:t>
            </w:r>
            <w:r>
              <w:rPr>
                <w:rFonts w:ascii="微软雅黑" w:eastAsia="微软雅黑" w:hAnsi="微软雅黑" w:hint="eastAsia"/>
                <w:b/>
                <w:bCs/>
                <w:szCs w:val="21"/>
              </w:rPr>
              <w:lastRenderedPageBreak/>
              <w:t>不应将业绩比较基准作为持有本理财产品份额到期的综合投资收益参考值，投资须谨慎。</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8326FD" w:rsidRDefault="00256501">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8326FD" w:rsidRDefault="00256501">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）后，若本产品投资收益低于业绩比较基准（含），管理人不收取浮动投资管理费；若投资收益超过业绩比较基准，超过部分作为管理人的浮动投资管理费。计提频率为产品每一估值日。</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8326FD" w:rsidRDefault="00256501">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8326FD">
        <w:trPr>
          <w:jc w:val="center"/>
        </w:trPr>
        <w:tc>
          <w:tcPr>
            <w:tcW w:w="2014"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8326FD">
        <w:trPr>
          <w:jc w:val="center"/>
        </w:trPr>
        <w:tc>
          <w:tcPr>
            <w:tcW w:w="2014"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工</w:t>
            </w:r>
            <w:r>
              <w:rPr>
                <w:rFonts w:ascii="微软雅黑" w:eastAsia="微软雅黑" w:hAnsi="微软雅黑" w:hint="eastAsia"/>
                <w:szCs w:val="21"/>
              </w:rPr>
              <w:t>作日</w:t>
            </w:r>
            <w:r>
              <w:rPr>
                <w:rFonts w:ascii="微软雅黑" w:eastAsia="微软雅黑" w:hAnsi="微软雅黑" w:hint="eastAsia"/>
                <w:szCs w:val="21"/>
              </w:rPr>
              <w:t xml:space="preserve"> </w:t>
            </w:r>
          </w:p>
        </w:tc>
        <w:tc>
          <w:tcPr>
            <w:tcW w:w="7200" w:type="dxa"/>
          </w:tcPr>
          <w:p w:rsidR="008326FD" w:rsidRDefault="00256501">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8326FD">
        <w:trPr>
          <w:jc w:val="center"/>
        </w:trPr>
        <w:tc>
          <w:tcPr>
            <w:tcW w:w="2014"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8326FD" w:rsidRDefault="008326FD">
      <w:pPr>
        <w:adjustRightInd w:val="0"/>
        <w:snapToGrid w:val="0"/>
        <w:spacing w:line="320" w:lineRule="exact"/>
        <w:ind w:left="456"/>
        <w:rPr>
          <w:rFonts w:ascii="微软雅黑" w:eastAsia="微软雅黑" w:hAnsi="微软雅黑" w:cs="Arial"/>
          <w:b/>
          <w:szCs w:val="21"/>
        </w:rPr>
      </w:pPr>
    </w:p>
    <w:p w:rsidR="008326FD" w:rsidRDefault="0025650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、超短期融资券、公司债、私募债、永续债、可转换债券、可交换债、非公开定向</w:t>
      </w:r>
      <w:proofErr w:type="gramStart"/>
      <w:r>
        <w:rPr>
          <w:rFonts w:ascii="微软雅黑" w:eastAsia="微软雅黑" w:hAnsi="微软雅黑" w:hint="eastAsia"/>
          <w:szCs w:val="21"/>
        </w:rPr>
        <w:t>债务债</w:t>
      </w:r>
      <w:proofErr w:type="gramEnd"/>
      <w:r>
        <w:rPr>
          <w:rFonts w:ascii="微软雅黑" w:eastAsia="微软雅黑" w:hAnsi="微软雅黑" w:hint="eastAsia"/>
          <w:szCs w:val="21"/>
        </w:rPr>
        <w:t>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w:t>
      </w:r>
      <w:proofErr w:type="gramEnd"/>
      <w:r>
        <w:rPr>
          <w:rFonts w:ascii="微软雅黑" w:eastAsia="微软雅黑" w:hAnsi="微软雅黑" w:hint="eastAsia"/>
          <w:szCs w:val="21"/>
        </w:rPr>
        <w:t>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w:t>
      </w:r>
      <w:r>
        <w:rPr>
          <w:rFonts w:ascii="微软雅黑" w:eastAsia="微软雅黑" w:hAnsi="微软雅黑" w:hint="eastAsia"/>
          <w:szCs w:val="21"/>
        </w:rPr>
        <w:t>他金融投资工具。</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8326FD" w:rsidRDefault="00256501">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8326FD">
        <w:tc>
          <w:tcPr>
            <w:tcW w:w="3727" w:type="dxa"/>
          </w:tcPr>
          <w:p w:rsidR="008326FD" w:rsidRDefault="00256501">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8326FD" w:rsidRDefault="00256501">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8326FD">
        <w:tc>
          <w:tcPr>
            <w:tcW w:w="3727"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80%-100%</w:t>
            </w:r>
          </w:p>
        </w:tc>
      </w:tr>
      <w:tr w:rsidR="008326FD">
        <w:tc>
          <w:tcPr>
            <w:tcW w:w="3727"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8326FD" w:rsidRDefault="00256501">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8326FD" w:rsidRDefault="00256501">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8326FD" w:rsidRDefault="008326FD">
      <w:pPr>
        <w:adjustRightInd w:val="0"/>
        <w:snapToGrid w:val="0"/>
        <w:spacing w:line="320" w:lineRule="exact"/>
        <w:ind w:left="454"/>
        <w:rPr>
          <w:rFonts w:ascii="微软雅黑" w:eastAsia="微软雅黑" w:hAnsi="微软雅黑" w:cs="Arial"/>
          <w:b/>
          <w:szCs w:val="21"/>
        </w:rPr>
      </w:pPr>
    </w:p>
    <w:p w:rsidR="008326FD" w:rsidRDefault="0025650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8326FD" w:rsidRDefault="008326FD">
      <w:pPr>
        <w:adjustRightInd w:val="0"/>
        <w:snapToGrid w:val="0"/>
        <w:spacing w:line="320" w:lineRule="exact"/>
        <w:ind w:left="454"/>
        <w:rPr>
          <w:rFonts w:ascii="微软雅黑" w:eastAsia="微软雅黑" w:hAnsi="微软雅黑"/>
          <w:szCs w:val="21"/>
        </w:rPr>
      </w:pPr>
    </w:p>
    <w:p w:rsidR="008326FD" w:rsidRDefault="0025650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8326FD" w:rsidRDefault="0025650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07</w:t>
      </w:r>
      <w:r>
        <w:rPr>
          <w:rFonts w:ascii="微软雅黑" w:eastAsia="微软雅黑" w:hAnsi="微软雅黑" w:hint="eastAsia"/>
          <w:szCs w:val="21"/>
        </w:rPr>
        <w:t>日</w:t>
      </w:r>
      <w:r>
        <w:rPr>
          <w:rFonts w:ascii="微软雅黑" w:eastAsia="微软雅黑" w:hAnsi="微软雅黑"/>
          <w:szCs w:val="21"/>
        </w:rPr>
        <w:t>进行认购登记。</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w:t>
      </w:r>
      <w:r>
        <w:rPr>
          <w:rFonts w:ascii="微软雅黑" w:eastAsia="微软雅黑" w:hAnsi="微软雅黑"/>
          <w:szCs w:val="21"/>
        </w:rPr>
        <w:t>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hint="eastAsia"/>
          <w:szCs w:val="21"/>
        </w:rPr>
        <w:t>万</w:t>
      </w:r>
      <w:r>
        <w:rPr>
          <w:rFonts w:ascii="微软雅黑" w:eastAsia="微软雅黑" w:hAnsi="微软雅黑"/>
          <w:szCs w:val="21"/>
        </w:rPr>
        <w:t>份；</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8326FD" w:rsidRDefault="0025650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8326FD" w:rsidRDefault="00256501">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8326FD" w:rsidRDefault="00256501">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w:t>
      </w:r>
      <w:r>
        <w:rPr>
          <w:rFonts w:ascii="微软雅黑" w:eastAsia="微软雅黑" w:hAnsi="微软雅黑" w:hint="eastAsia"/>
          <w:szCs w:val="21"/>
        </w:rPr>
        <w:lastRenderedPageBreak/>
        <w:t>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8326FD" w:rsidRDefault="008326FD">
      <w:pPr>
        <w:adjustRightInd w:val="0"/>
        <w:snapToGrid w:val="0"/>
        <w:spacing w:line="320" w:lineRule="exact"/>
        <w:ind w:left="454"/>
        <w:rPr>
          <w:rFonts w:ascii="微软雅黑" w:eastAsia="微软雅黑" w:hAnsi="微软雅黑" w:cs="Arial"/>
          <w:b/>
          <w:szCs w:val="21"/>
        </w:rPr>
      </w:pPr>
    </w:p>
    <w:p w:rsidR="008326FD" w:rsidRDefault="0025650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8326FD" w:rsidRDefault="0025650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07</w:t>
      </w:r>
      <w:r>
        <w:rPr>
          <w:rFonts w:ascii="微软雅黑" w:eastAsia="微软雅黑" w:hAnsi="微软雅黑" w:hint="eastAsia"/>
          <w:szCs w:val="21"/>
        </w:rPr>
        <w:t>月</w:t>
      </w:r>
      <w:r>
        <w:rPr>
          <w:rFonts w:ascii="微软雅黑" w:eastAsia="微软雅黑" w:hAnsi="微软雅黑" w:hint="eastAsia"/>
          <w:szCs w:val="21"/>
        </w:rPr>
        <w:t>14</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w:t>
      </w:r>
      <w:r>
        <w:rPr>
          <w:rFonts w:ascii="微软雅黑" w:eastAsia="微软雅黑" w:hAnsi="微软雅黑" w:hint="eastAsia"/>
          <w:szCs w:val="21"/>
        </w:rPr>
        <w:t>以珠海华润银行公告为准。</w:t>
      </w:r>
    </w:p>
    <w:p w:rsidR="008326FD" w:rsidRDefault="0025650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8326FD" w:rsidRDefault="00256501">
      <w:pPr>
        <w:pStyle w:val="af0"/>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rsidR="008326FD" w:rsidRDefault="00256501">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8326FD" w:rsidRDefault="00256501">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w:t>
      </w:r>
      <w:r>
        <w:rPr>
          <w:rFonts w:ascii="微软雅黑" w:eastAsia="微软雅黑" w:hAnsi="微软雅黑" w:hint="eastAsia"/>
          <w:szCs w:val="21"/>
        </w:rPr>
        <w:t>关投资管理机构解散、破产、撤销、被取消业务资格等原因无法继续履行相应职责导致产品无法继续运作；</w:t>
      </w:r>
    </w:p>
    <w:p w:rsidR="008326FD" w:rsidRDefault="00256501">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8326FD" w:rsidRDefault="00256501">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8326FD" w:rsidRDefault="00256501">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8326FD" w:rsidRDefault="008326FD">
      <w:pPr>
        <w:adjustRightInd w:val="0"/>
        <w:snapToGrid w:val="0"/>
        <w:spacing w:line="320" w:lineRule="exact"/>
        <w:rPr>
          <w:rFonts w:ascii="微软雅黑" w:eastAsia="微软雅黑" w:hAnsi="微软雅黑" w:cs="Arial"/>
          <w:b/>
          <w:szCs w:val="21"/>
        </w:rPr>
      </w:pPr>
    </w:p>
    <w:p w:rsidR="008326FD" w:rsidRDefault="0025650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8326FD" w:rsidRDefault="00256501">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w:t>
      </w:r>
      <w:r>
        <w:rPr>
          <w:rFonts w:ascii="微软雅黑" w:eastAsia="微软雅黑" w:hAnsi="微软雅黑" w:hint="eastAsia"/>
          <w:szCs w:val="21"/>
        </w:rPr>
        <w:t>00</w:t>
      </w:r>
      <w:r>
        <w:rPr>
          <w:rFonts w:ascii="微软雅黑" w:eastAsia="微软雅黑" w:hAnsi="微软雅黑" w:hint="eastAsia"/>
          <w:szCs w:val="21"/>
        </w:rPr>
        <w:t>，</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扣除浮动投资管理费后，客户最终收益为：</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8326FD" w:rsidRDefault="008326FD">
      <w:pPr>
        <w:spacing w:line="320" w:lineRule="exact"/>
        <w:ind w:firstLineChars="200" w:firstLine="420"/>
        <w:rPr>
          <w:rFonts w:ascii="微软雅黑" w:eastAsia="微软雅黑" w:hAnsi="微软雅黑"/>
          <w:szCs w:val="21"/>
        </w:rPr>
      </w:pP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8326FD" w:rsidRDefault="008326FD">
      <w:pPr>
        <w:spacing w:line="320" w:lineRule="exact"/>
        <w:ind w:firstLineChars="200" w:firstLine="420"/>
        <w:rPr>
          <w:rFonts w:ascii="微软雅黑" w:eastAsia="微软雅黑" w:hAnsi="微软雅黑"/>
          <w:szCs w:val="21"/>
        </w:rPr>
      </w:pP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）后，投资收益未达到业绩比较基准，且以管理人收取的固定投资管理费为限进行回补不能够覆盖差额部分。</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8326FD" w:rsidRDefault="00256501">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w:t>
      </w:r>
      <w:r>
        <w:rPr>
          <w:rFonts w:ascii="微软雅黑" w:eastAsia="微软雅黑" w:hAnsi="微软雅黑" w:hint="eastAsia"/>
          <w:szCs w:val="21"/>
        </w:rPr>
        <w:t>，仅为举例之用，不作为最终收益的计算依据。测算收益不等于实际收益，亦不构成珠海华润银行对本理财产品的任何收益承诺，投资须谨慎。）</w:t>
      </w:r>
    </w:p>
    <w:p w:rsidR="008326FD" w:rsidRDefault="0025650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w:t>
      </w:r>
      <w:r>
        <w:rPr>
          <w:rFonts w:ascii="微软雅黑" w:eastAsia="微软雅黑" w:hAnsi="微软雅黑" w:hint="eastAsia"/>
          <w:szCs w:val="21"/>
        </w:rPr>
        <w:t>计提利息；</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w:t>
      </w:r>
      <w:r>
        <w:rPr>
          <w:rFonts w:ascii="微软雅黑" w:eastAsia="微软雅黑" w:hAnsi="微软雅黑" w:hint="eastAsia"/>
          <w:szCs w:val="21"/>
        </w:rPr>
        <w:lastRenderedPageBreak/>
        <w:t>中证等）提供的估值价格、收盘价、或其他估值技术确定公允价值。</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8326FD" w:rsidRDefault="00256501">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8326FD" w:rsidRDefault="00256501">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8326FD" w:rsidRDefault="008326FD">
      <w:pPr>
        <w:spacing w:line="320" w:lineRule="exact"/>
        <w:rPr>
          <w:rFonts w:ascii="微软雅黑" w:eastAsia="微软雅黑" w:hAnsi="微软雅黑"/>
          <w:szCs w:val="21"/>
        </w:rPr>
      </w:pPr>
    </w:p>
    <w:p w:rsidR="008326FD" w:rsidRDefault="0025650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w:t>
      </w:r>
      <w:r>
        <w:rPr>
          <w:rFonts w:ascii="微软雅黑" w:eastAsia="微软雅黑" w:hAnsi="微软雅黑" w:hint="eastAsia"/>
          <w:szCs w:val="21"/>
        </w:rPr>
        <w:t>，每年结束之日起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8326FD" w:rsidRDefault="0025650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8326FD" w:rsidRDefault="008326FD">
      <w:pPr>
        <w:spacing w:line="320" w:lineRule="exact"/>
      </w:pPr>
    </w:p>
    <w:p w:rsidR="008326FD" w:rsidRDefault="008326FD">
      <w:pPr>
        <w:spacing w:line="320" w:lineRule="exact"/>
      </w:pPr>
    </w:p>
    <w:p w:rsidR="008326FD" w:rsidRDefault="008326FD">
      <w:pPr>
        <w:spacing w:line="320" w:lineRule="exact"/>
      </w:pPr>
    </w:p>
    <w:p w:rsidR="008326FD" w:rsidRDefault="008326FD">
      <w:pPr>
        <w:spacing w:line="320" w:lineRule="exact"/>
        <w:ind w:firstLineChars="200" w:firstLine="420"/>
        <w:rPr>
          <w:rFonts w:ascii="微软雅黑" w:eastAsia="微软雅黑" w:hAnsi="微软雅黑"/>
          <w:szCs w:val="21"/>
        </w:rPr>
      </w:pPr>
    </w:p>
    <w:sectPr w:rsidR="008326F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501" w:rsidRDefault="00256501">
      <w:r>
        <w:separator/>
      </w:r>
    </w:p>
  </w:endnote>
  <w:endnote w:type="continuationSeparator" w:id="0">
    <w:p w:rsidR="00256501" w:rsidRDefault="0025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FD" w:rsidRDefault="00256501">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8326FD" w:rsidRDefault="008326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501" w:rsidRDefault="00256501">
      <w:r>
        <w:separator/>
      </w:r>
    </w:p>
  </w:footnote>
  <w:footnote w:type="continuationSeparator" w:id="0">
    <w:p w:rsidR="00256501" w:rsidRDefault="0025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FD" w:rsidRDefault="00256501">
    <w:pPr>
      <w:pStyle w:val="a9"/>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6501"/>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326FD"/>
    <w:rsid w:val="00833C4A"/>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64FCB-0338-42FD-83CD-EA28DE0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5660</Characters>
  <Application>Microsoft Office Word</Application>
  <DocSecurity>0</DocSecurity>
  <Lines>47</Lines>
  <Paragraphs>13</Paragraphs>
  <ScaleCrop>false</ScaleCrop>
  <Company>crbank</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2022-03-28T07:35:00Z</dcterms:created>
  <dcterms:modified xsi:type="dcterms:W3CDTF">2022-03-28T07:35:00Z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