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珠海华润银行润悦1号第184期理财产品说明书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珠海华润银行润悦1号第184期理财产品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润悦1号第184期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C1082921000128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募集规模不超过10000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2022年03月02日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2022年06月08日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2022年02月23日9:00至2022年03月01日17:00，珠海华润银行有权提前结束认购并调整相关日期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4.05％（年化）。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2022年03月02日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2022年06月08日（以实际到期日为准）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4B126F1"/>
    <w:rsid w:val="468371F6"/>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2022-02-23T03:53:33Z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