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3" Type="http://schemas.openxmlformats.org/officeDocument/2006/relationships/custom-properties" Target="docProps/custom.xml"/><Relationship Id="rId2" Type="http://schemas.openxmlformats.org/package/2006/relationships/metadata/core-properties" Target="docProps/core.xml"/><Relationship Id="rId1"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 xml:space="preserve">珠海华润银行润悦1号第173期理财产品说明书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珠海华润银行润悦1号第173期理财产品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 xml:space="preserve">润悦1号第173期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 xml:space="preserve">RY10173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 xml:space="preserve">C1082921000117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 xml:space="preserve">募集规模不超过2000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 xml:space="preserve">2022年01月19日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 xml:space="preserve">2024年02月17日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 xml:space="preserve">759天。实际产品期限受制于银行提前终止及产品到期条款，珠海华润银行可根据情况进行调整。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 xml:space="preserve">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2022年01月07日9:00至2022年01月11日17:00，珠海华润银行有权提前结束认购并调整相关日期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 xml:space="preserve">4.48％（年化）。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 xml:space="preserve">2022年01月19日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 xml:space="preserve">2024年02月17日（以实际到期日为准）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bookmarkStart w:id="2" w:name="_GoBack"/>
      <w:bookmarkEnd w:id="2"/>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2021-12-28T06:57:15Z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