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7E" w:rsidRDefault="00392D7E">
      <w:pPr>
        <w:spacing w:line="320" w:lineRule="exact"/>
        <w:rPr>
          <w:rFonts w:ascii="微软雅黑" w:eastAsia="微软雅黑" w:hAnsi="微软雅黑"/>
          <w:b/>
          <w:sz w:val="28"/>
          <w:szCs w:val="28"/>
        </w:rPr>
      </w:pPr>
    </w:p>
    <w:p w:rsidR="00392D7E" w:rsidRDefault="00D24908">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147</w:t>
      </w:r>
      <w:r>
        <w:rPr>
          <w:rFonts w:ascii="微软雅黑" w:eastAsia="微软雅黑" w:hAnsi="微软雅黑" w:hint="eastAsia"/>
          <w:b/>
          <w:sz w:val="28"/>
          <w:szCs w:val="28"/>
        </w:rPr>
        <w:t>期理财产品说明书</w:t>
      </w:r>
    </w:p>
    <w:p w:rsidR="00392D7E" w:rsidRDefault="00392D7E">
      <w:pPr>
        <w:spacing w:line="320" w:lineRule="exact"/>
        <w:rPr>
          <w:rFonts w:ascii="微软雅黑" w:eastAsia="微软雅黑" w:hAnsi="微软雅黑"/>
          <w:szCs w:val="21"/>
        </w:rPr>
      </w:pPr>
    </w:p>
    <w:p w:rsidR="00392D7E" w:rsidRDefault="00D24908">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392D7E">
        <w:trPr>
          <w:jc w:val="center"/>
        </w:trPr>
        <w:tc>
          <w:tcPr>
            <w:tcW w:w="2014" w:type="dxa"/>
          </w:tcPr>
          <w:p w:rsidR="00392D7E" w:rsidRDefault="00D24908">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392D7E" w:rsidRDefault="00D24908">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147</w:t>
            </w:r>
            <w:r>
              <w:rPr>
                <w:rFonts w:ascii="微软雅黑" w:eastAsia="微软雅黑" w:hAnsi="微软雅黑" w:hint="eastAsia"/>
                <w:szCs w:val="21"/>
              </w:rPr>
              <w:t>期理财产品</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392D7E" w:rsidRDefault="00D24908">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147</w:t>
            </w:r>
            <w:r>
              <w:rPr>
                <w:rFonts w:ascii="微软雅黑" w:eastAsia="微软雅黑" w:hAnsi="微软雅黑" w:hint="eastAsia"/>
                <w:szCs w:val="21"/>
              </w:rPr>
              <w:t>期</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RY10147</w:t>
            </w:r>
          </w:p>
        </w:tc>
      </w:tr>
      <w:tr w:rsidR="00392D7E">
        <w:trPr>
          <w:jc w:val="center"/>
        </w:trPr>
        <w:tc>
          <w:tcPr>
            <w:tcW w:w="2014" w:type="dxa"/>
            <w:vAlign w:val="center"/>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C1082921000091</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392D7E">
        <w:trPr>
          <w:trHeight w:val="260"/>
          <w:jc w:val="center"/>
        </w:trPr>
        <w:tc>
          <w:tcPr>
            <w:tcW w:w="2014" w:type="dxa"/>
          </w:tcPr>
          <w:p w:rsidR="00392D7E" w:rsidRDefault="00D24908">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392D7E">
        <w:trPr>
          <w:jc w:val="center"/>
        </w:trPr>
        <w:tc>
          <w:tcPr>
            <w:tcW w:w="2014" w:type="dxa"/>
          </w:tcPr>
          <w:p w:rsidR="00392D7E" w:rsidRDefault="00D24908">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20000</w:t>
            </w:r>
            <w:r>
              <w:rPr>
                <w:rFonts w:ascii="微软雅黑" w:eastAsia="微软雅黑" w:hAnsi="微软雅黑" w:hint="eastAsia"/>
                <w:szCs w:val="21"/>
              </w:rPr>
              <w:t>万</w:t>
            </w:r>
            <w:r>
              <w:rPr>
                <w:rFonts w:ascii="微软雅黑" w:eastAsia="微软雅黑" w:hAnsi="微软雅黑"/>
                <w:szCs w:val="21"/>
              </w:rPr>
              <w:t>元。</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u w:val="single"/>
              </w:rPr>
              <w:t>2021</w:t>
            </w:r>
            <w:r>
              <w:rPr>
                <w:rFonts w:ascii="微软雅黑" w:eastAsia="微软雅黑" w:hAnsi="微软雅黑" w:hint="eastAsia"/>
                <w:szCs w:val="21"/>
                <w:u w:val="single"/>
              </w:rPr>
              <w:t>年</w:t>
            </w:r>
            <w:r>
              <w:rPr>
                <w:rFonts w:ascii="微软雅黑" w:eastAsia="微软雅黑" w:hAnsi="微软雅黑" w:hint="eastAsia"/>
                <w:szCs w:val="21"/>
                <w:u w:val="single"/>
              </w:rPr>
              <w:t>11</w:t>
            </w:r>
            <w:r>
              <w:rPr>
                <w:rFonts w:ascii="微软雅黑" w:eastAsia="微软雅黑" w:hAnsi="微软雅黑" w:hint="eastAsia"/>
                <w:szCs w:val="21"/>
                <w:u w:val="single"/>
              </w:rPr>
              <w:t>月</w:t>
            </w:r>
            <w:r>
              <w:rPr>
                <w:rFonts w:ascii="微软雅黑" w:eastAsia="微软雅黑" w:hAnsi="微软雅黑" w:hint="eastAsia"/>
                <w:szCs w:val="21"/>
                <w:u w:val="single"/>
              </w:rPr>
              <w:t>10</w:t>
            </w:r>
            <w:r>
              <w:rPr>
                <w:rFonts w:ascii="微软雅黑" w:eastAsia="微软雅黑" w:hAnsi="微软雅黑" w:hint="eastAsia"/>
                <w:szCs w:val="21"/>
                <w:u w:val="single"/>
              </w:rPr>
              <w:t>日</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u w:val="single"/>
              </w:rPr>
              <w:t>2023</w:t>
            </w:r>
            <w:r>
              <w:rPr>
                <w:rFonts w:ascii="微软雅黑" w:eastAsia="微软雅黑" w:hAnsi="微软雅黑" w:hint="eastAsia"/>
                <w:szCs w:val="21"/>
                <w:u w:val="single"/>
              </w:rPr>
              <w:t>年</w:t>
            </w:r>
            <w:r>
              <w:rPr>
                <w:rFonts w:ascii="微软雅黑" w:eastAsia="微软雅黑" w:hAnsi="微软雅黑" w:hint="eastAsia"/>
                <w:szCs w:val="21"/>
                <w:u w:val="single"/>
              </w:rPr>
              <w:t>01</w:t>
            </w:r>
            <w:r>
              <w:rPr>
                <w:rFonts w:ascii="微软雅黑" w:eastAsia="微软雅黑" w:hAnsi="微软雅黑" w:hint="eastAsia"/>
                <w:szCs w:val="21"/>
                <w:u w:val="single"/>
              </w:rPr>
              <w:t>月</w:t>
            </w:r>
            <w:r>
              <w:rPr>
                <w:rFonts w:ascii="微软雅黑" w:eastAsia="微软雅黑" w:hAnsi="微软雅黑" w:hint="eastAsia"/>
                <w:szCs w:val="21"/>
                <w:u w:val="single"/>
              </w:rPr>
              <w:t>10</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392D7E" w:rsidRDefault="00D24908">
            <w:pPr>
              <w:spacing w:line="320" w:lineRule="exact"/>
              <w:rPr>
                <w:rFonts w:ascii="微软雅黑" w:eastAsia="微软雅黑" w:hAnsi="微软雅黑"/>
                <w:szCs w:val="21"/>
                <w:u w:val="single"/>
              </w:rPr>
            </w:pPr>
            <w:r>
              <w:rPr>
                <w:rFonts w:ascii="微软雅黑" w:eastAsia="微软雅黑" w:hAnsi="微软雅黑" w:hint="eastAsia"/>
                <w:szCs w:val="21"/>
              </w:rPr>
              <w:t>426</w:t>
            </w:r>
            <w:r>
              <w:rPr>
                <w:rFonts w:ascii="微软雅黑" w:eastAsia="微软雅黑" w:hAnsi="微软雅黑" w:hint="eastAsia"/>
                <w:szCs w:val="21"/>
              </w:rPr>
              <w:t>天。实际产品期限受制于银行提前终止及产品到期条款，珠海华润银行可根据情况进行调整。</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392D7E">
        <w:trPr>
          <w:jc w:val="center"/>
        </w:trPr>
        <w:tc>
          <w:tcPr>
            <w:tcW w:w="2014" w:type="dxa"/>
          </w:tcPr>
          <w:p w:rsidR="00392D7E" w:rsidRDefault="00D24908">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392D7E" w:rsidRDefault="00D24908">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认购期</w:t>
            </w:r>
          </w:p>
          <w:p w:rsidR="00392D7E" w:rsidRDefault="00392D7E">
            <w:pPr>
              <w:spacing w:line="320" w:lineRule="exact"/>
              <w:rPr>
                <w:rFonts w:ascii="微软雅黑" w:eastAsia="微软雅黑" w:hAnsi="微软雅黑"/>
                <w:b/>
                <w:szCs w:val="21"/>
              </w:rPr>
            </w:pPr>
          </w:p>
        </w:tc>
        <w:tc>
          <w:tcPr>
            <w:tcW w:w="7200" w:type="dxa"/>
          </w:tcPr>
          <w:p w:rsidR="00392D7E" w:rsidRDefault="00D24908">
            <w:pPr>
              <w:spacing w:line="320" w:lineRule="exact"/>
              <w:rPr>
                <w:rFonts w:ascii="微软雅黑" w:eastAsia="微软雅黑" w:hAnsi="微软雅黑"/>
                <w:b/>
                <w:szCs w:val="21"/>
              </w:rPr>
            </w:pPr>
            <w:r>
              <w:rPr>
                <w:rFonts w:ascii="微软雅黑" w:eastAsia="微软雅黑" w:hAnsi="微软雅黑" w:hint="eastAsia"/>
                <w:szCs w:val="21"/>
              </w:rPr>
              <w:t>2021</w:t>
            </w:r>
            <w:r>
              <w:rPr>
                <w:rFonts w:ascii="微软雅黑" w:eastAsia="微软雅黑" w:hAnsi="微软雅黑" w:hint="eastAsia"/>
                <w:szCs w:val="21"/>
              </w:rPr>
              <w:t>年</w:t>
            </w:r>
            <w:r>
              <w:rPr>
                <w:rFonts w:ascii="微软雅黑" w:eastAsia="微软雅黑" w:hAnsi="微软雅黑" w:hint="eastAsia"/>
                <w:szCs w:val="21"/>
              </w:rPr>
              <w:t>11</w:t>
            </w:r>
            <w:r>
              <w:rPr>
                <w:rFonts w:ascii="微软雅黑" w:eastAsia="微软雅黑" w:hAnsi="微软雅黑" w:hint="eastAsia"/>
                <w:szCs w:val="21"/>
              </w:rPr>
              <w:t>月</w:t>
            </w:r>
            <w:r>
              <w:rPr>
                <w:rFonts w:ascii="微软雅黑" w:eastAsia="微软雅黑" w:hAnsi="微软雅黑" w:hint="eastAsia"/>
                <w:szCs w:val="21"/>
              </w:rPr>
              <w:t>03</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2021</w:t>
            </w:r>
            <w:r>
              <w:rPr>
                <w:rFonts w:ascii="微软雅黑" w:eastAsia="微软雅黑" w:hAnsi="微软雅黑" w:hint="eastAsia"/>
                <w:szCs w:val="21"/>
              </w:rPr>
              <w:t>年</w:t>
            </w:r>
            <w:r>
              <w:rPr>
                <w:rFonts w:ascii="微软雅黑" w:eastAsia="微软雅黑" w:hAnsi="微软雅黑" w:hint="eastAsia"/>
                <w:szCs w:val="21"/>
              </w:rPr>
              <w:t>11</w:t>
            </w:r>
            <w:r>
              <w:rPr>
                <w:rFonts w:ascii="微软雅黑" w:eastAsia="微软雅黑" w:hAnsi="微软雅黑" w:hint="eastAsia"/>
                <w:szCs w:val="21"/>
              </w:rPr>
              <w:t>月</w:t>
            </w:r>
            <w:r>
              <w:rPr>
                <w:rFonts w:ascii="微软雅黑" w:eastAsia="微软雅黑" w:hAnsi="微软雅黑" w:hint="eastAsia"/>
                <w:szCs w:val="21"/>
              </w:rPr>
              <w:t>09</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392D7E">
        <w:trPr>
          <w:jc w:val="center"/>
        </w:trPr>
        <w:tc>
          <w:tcPr>
            <w:tcW w:w="2014" w:type="dxa"/>
          </w:tcPr>
          <w:p w:rsidR="00392D7E" w:rsidRDefault="00D24908">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392D7E" w:rsidRDefault="00D24908">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392D7E">
        <w:trPr>
          <w:trHeight w:val="322"/>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4.</w:t>
            </w:r>
            <w:r w:rsidR="000912D0">
              <w:rPr>
                <w:rFonts w:ascii="微软雅黑" w:eastAsia="微软雅黑" w:hAnsi="微软雅黑" w:hint="eastAsia"/>
                <w:szCs w:val="21"/>
              </w:rPr>
              <w:t>1</w:t>
            </w:r>
            <w:r w:rsidR="00FC57AE">
              <w:rPr>
                <w:rFonts w:ascii="微软雅黑" w:eastAsia="微软雅黑" w:hAnsi="微软雅黑" w:hint="eastAsia"/>
                <w:szCs w:val="21"/>
              </w:rPr>
              <w:t>8</w:t>
            </w:r>
            <w:bookmarkStart w:id="0" w:name="_GoBack"/>
            <w:bookmarkEnd w:id="0"/>
            <w:r>
              <w:rPr>
                <w:rFonts w:ascii="微软雅黑" w:eastAsia="微软雅黑" w:hAnsi="微软雅黑" w:hint="eastAsia"/>
                <w:szCs w:val="21"/>
              </w:rPr>
              <w:t>％（年化）。</w:t>
            </w:r>
            <w:proofErr w:type="gramStart"/>
            <w:r>
              <w:rPr>
                <w:rFonts w:ascii="微软雅黑" w:eastAsia="微软雅黑" w:hAnsi="微软雅黑" w:hint="eastAsia"/>
                <w:szCs w:val="21"/>
              </w:rPr>
              <w:t>该业绩</w:t>
            </w:r>
            <w:proofErr w:type="gramEnd"/>
            <w:r>
              <w:rPr>
                <w:rFonts w:ascii="微软雅黑" w:eastAsia="微软雅黑" w:hAnsi="微软雅黑" w:hint="eastAsia"/>
                <w:szCs w:val="21"/>
              </w:rPr>
              <w:t>比较基准仅作为计算浮动管理费的依据，不构成珠海华润银行对本理财产品的任何收益承诺。</w:t>
            </w:r>
            <w:r>
              <w:rPr>
                <w:rFonts w:ascii="微软雅黑" w:eastAsia="微软雅黑" w:hAnsi="微软雅黑" w:cs="微软雅黑" w:hint="eastAsia"/>
                <w:b/>
                <w:bCs/>
                <w:szCs w:val="21"/>
              </w:rPr>
              <w:t>理财产品过往业绩不代表其未来表现，不等于理财产品实际收益，投资须谨慎。</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相关费用</w:t>
            </w:r>
          </w:p>
        </w:tc>
        <w:tc>
          <w:tcPr>
            <w:tcW w:w="7200" w:type="dxa"/>
          </w:tcPr>
          <w:p w:rsidR="00392D7E" w:rsidRDefault="00D24908">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lastRenderedPageBreak/>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二、浮动费用</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ascii="微软雅黑" w:eastAsia="微软雅黑" w:hAnsi="微软雅黑" w:hint="eastAsia"/>
                <w:szCs w:val="21"/>
              </w:rPr>
              <w:t>计提频率为产品每一估值日。</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三、固定投资管理费回拨</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bookmarkEnd w:id="1"/>
          </w:p>
        </w:tc>
      </w:tr>
      <w:tr w:rsidR="00392D7E">
        <w:trPr>
          <w:jc w:val="center"/>
        </w:trPr>
        <w:tc>
          <w:tcPr>
            <w:tcW w:w="2014" w:type="dxa"/>
          </w:tcPr>
          <w:p w:rsidR="00392D7E" w:rsidRDefault="00D24908">
            <w:pPr>
              <w:spacing w:line="320" w:lineRule="exact"/>
              <w:rPr>
                <w:rFonts w:ascii="微软雅黑" w:eastAsia="微软雅黑" w:hAnsi="微软雅黑"/>
                <w:b/>
                <w:szCs w:val="21"/>
              </w:rPr>
            </w:pPr>
            <w:r>
              <w:rPr>
                <w:rFonts w:ascii="微软雅黑" w:eastAsia="微软雅黑" w:hAnsi="微软雅黑" w:hint="eastAsia"/>
                <w:szCs w:val="21"/>
              </w:rPr>
              <w:lastRenderedPageBreak/>
              <w:t>节假日</w:t>
            </w:r>
            <w:r>
              <w:rPr>
                <w:rFonts w:ascii="微软雅黑" w:eastAsia="微软雅黑" w:hAnsi="微软雅黑" w:hint="eastAsia"/>
                <w:szCs w:val="21"/>
              </w:rPr>
              <w:t xml:space="preserve"> </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392D7E">
        <w:trPr>
          <w:jc w:val="center"/>
        </w:trPr>
        <w:tc>
          <w:tcPr>
            <w:tcW w:w="2014" w:type="dxa"/>
          </w:tcPr>
          <w:p w:rsidR="00392D7E" w:rsidRDefault="00D24908">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rsidR="00392D7E" w:rsidRDefault="00D24908">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392D7E">
        <w:trPr>
          <w:jc w:val="center"/>
        </w:trPr>
        <w:tc>
          <w:tcPr>
            <w:tcW w:w="2014"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w:t>
            </w:r>
            <w:r>
              <w:rPr>
                <w:rFonts w:ascii="微软雅黑" w:eastAsia="微软雅黑" w:hAnsi="微软雅黑" w:hint="eastAsia"/>
                <w:szCs w:val="21"/>
              </w:rPr>
              <w:t>缴纳。</w:t>
            </w:r>
          </w:p>
        </w:tc>
      </w:tr>
    </w:tbl>
    <w:p w:rsidR="00392D7E" w:rsidRDefault="00392D7E">
      <w:pPr>
        <w:adjustRightInd w:val="0"/>
        <w:snapToGrid w:val="0"/>
        <w:spacing w:line="320" w:lineRule="exact"/>
        <w:ind w:left="456"/>
        <w:rPr>
          <w:rFonts w:ascii="微软雅黑" w:eastAsia="微软雅黑" w:hAnsi="微软雅黑" w:cs="Arial"/>
          <w:b/>
          <w:szCs w:val="21"/>
        </w:rPr>
      </w:pPr>
    </w:p>
    <w:p w:rsidR="00392D7E" w:rsidRDefault="00D24908">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392D7E" w:rsidRDefault="00D24908">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本理财产品投资于符合监管要求的固定收益类资产</w:t>
      </w:r>
      <w:r>
        <w:rPr>
          <w:rFonts w:ascii="微软雅黑" w:eastAsia="微软雅黑" w:hAnsi="微软雅黑" w:hint="eastAsia"/>
          <w:szCs w:val="21"/>
        </w:rPr>
        <w:t>、权益类资产及其他资产</w:t>
      </w:r>
      <w:r>
        <w:rPr>
          <w:rFonts w:ascii="微软雅黑" w:eastAsia="微软雅黑" w:hAnsi="微软雅黑" w:hint="eastAsia"/>
          <w:szCs w:val="21"/>
        </w:rPr>
        <w:t>，</w:t>
      </w:r>
      <w:r>
        <w:rPr>
          <w:rFonts w:ascii="微软雅黑" w:eastAsia="微软雅黑" w:hAnsi="微软雅黑" w:hint="eastAsia"/>
          <w:szCs w:val="21"/>
        </w:rPr>
        <w:t>属于固定收益类产品。</w:t>
      </w:r>
      <w:r>
        <w:rPr>
          <w:rFonts w:ascii="微软雅黑" w:eastAsia="微软雅黑" w:hAnsi="微软雅黑" w:hint="eastAsia"/>
          <w:szCs w:val="21"/>
        </w:rPr>
        <w:t>固定收益类资产包括但不限于货币市场工具类、债券类、其他符合监管要求的债权类资产</w:t>
      </w:r>
      <w:r>
        <w:rPr>
          <w:rFonts w:ascii="微软雅黑" w:eastAsia="微软雅黑" w:hAnsi="微软雅黑" w:hint="eastAsia"/>
          <w:szCs w:val="21"/>
        </w:rPr>
        <w:t>、股权收益权、信托计划、</w:t>
      </w:r>
      <w:proofErr w:type="gramStart"/>
      <w:r>
        <w:rPr>
          <w:rFonts w:ascii="微软雅黑" w:eastAsia="微软雅黑" w:hAnsi="微软雅黑" w:hint="eastAsia"/>
          <w:szCs w:val="21"/>
        </w:rPr>
        <w:t>资管计划</w:t>
      </w:r>
      <w:proofErr w:type="gramEnd"/>
      <w:r>
        <w:rPr>
          <w:rFonts w:ascii="微软雅黑" w:eastAsia="微软雅黑" w:hAnsi="微软雅黑" w:hint="eastAsia"/>
          <w:szCs w:val="21"/>
        </w:rPr>
        <w:t>等。</w:t>
      </w:r>
    </w:p>
    <w:p w:rsidR="00392D7E" w:rsidRDefault="00D2490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Style w:val="a8"/>
        <w:tblW w:w="0" w:type="auto"/>
        <w:tblInd w:w="534" w:type="dxa"/>
        <w:tblLook w:val="04A0" w:firstRow="1" w:lastRow="0" w:firstColumn="1" w:lastColumn="0" w:noHBand="0" w:noVBand="1"/>
      </w:tblPr>
      <w:tblGrid>
        <w:gridCol w:w="3727"/>
        <w:gridCol w:w="2651"/>
      </w:tblGrid>
      <w:tr w:rsidR="00392D7E">
        <w:tc>
          <w:tcPr>
            <w:tcW w:w="3727" w:type="dxa"/>
          </w:tcPr>
          <w:p w:rsidR="00392D7E" w:rsidRDefault="00D2490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392D7E" w:rsidRDefault="00D2490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392D7E">
        <w:tc>
          <w:tcPr>
            <w:tcW w:w="3727" w:type="dxa"/>
          </w:tcPr>
          <w:p w:rsidR="00392D7E" w:rsidRDefault="00D2490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392D7E" w:rsidRDefault="00D2490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0%-80%</w:t>
            </w:r>
          </w:p>
        </w:tc>
      </w:tr>
      <w:tr w:rsidR="00392D7E">
        <w:tc>
          <w:tcPr>
            <w:tcW w:w="3727" w:type="dxa"/>
          </w:tcPr>
          <w:p w:rsidR="00392D7E" w:rsidRDefault="00D2490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权益类资产</w:t>
            </w:r>
          </w:p>
        </w:tc>
        <w:tc>
          <w:tcPr>
            <w:tcW w:w="2651" w:type="dxa"/>
          </w:tcPr>
          <w:p w:rsidR="00392D7E" w:rsidRDefault="00D2490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0%-20%</w:t>
            </w:r>
          </w:p>
        </w:tc>
      </w:tr>
      <w:tr w:rsidR="00392D7E">
        <w:tc>
          <w:tcPr>
            <w:tcW w:w="3727" w:type="dxa"/>
          </w:tcPr>
          <w:p w:rsidR="00392D7E" w:rsidRDefault="00D2490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392D7E" w:rsidRDefault="00D24908">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0%-20%</w:t>
            </w:r>
          </w:p>
        </w:tc>
      </w:tr>
    </w:tbl>
    <w:p w:rsidR="00392D7E" w:rsidRDefault="00D24908">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392D7E" w:rsidRDefault="00D24908">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392D7E" w:rsidRDefault="00392D7E">
      <w:pPr>
        <w:adjustRightInd w:val="0"/>
        <w:snapToGrid w:val="0"/>
        <w:spacing w:line="320" w:lineRule="exact"/>
        <w:ind w:left="454"/>
        <w:rPr>
          <w:rFonts w:ascii="微软雅黑" w:eastAsia="微软雅黑" w:hAnsi="微软雅黑" w:cs="Arial"/>
          <w:b/>
          <w:szCs w:val="21"/>
        </w:rPr>
      </w:pPr>
    </w:p>
    <w:p w:rsidR="00392D7E" w:rsidRDefault="00D24908">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392D7E" w:rsidRDefault="00392D7E">
      <w:pPr>
        <w:adjustRightInd w:val="0"/>
        <w:snapToGrid w:val="0"/>
        <w:spacing w:line="320" w:lineRule="exact"/>
        <w:ind w:left="454"/>
        <w:rPr>
          <w:rFonts w:ascii="微软雅黑" w:eastAsia="微软雅黑" w:hAnsi="微软雅黑"/>
          <w:szCs w:val="21"/>
        </w:rPr>
      </w:pPr>
    </w:p>
    <w:p w:rsidR="00392D7E" w:rsidRDefault="00D24908">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392D7E" w:rsidRDefault="00D24908">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2021</w:t>
      </w:r>
      <w:r>
        <w:rPr>
          <w:rFonts w:ascii="微软雅黑" w:eastAsia="微软雅黑" w:hAnsi="微软雅黑" w:hint="eastAsia"/>
          <w:szCs w:val="21"/>
        </w:rPr>
        <w:t>年</w:t>
      </w:r>
      <w:r>
        <w:rPr>
          <w:rFonts w:ascii="微软雅黑" w:eastAsia="微软雅黑" w:hAnsi="微软雅黑" w:hint="eastAsia"/>
          <w:szCs w:val="21"/>
        </w:rPr>
        <w:t>11</w:t>
      </w:r>
      <w:r>
        <w:rPr>
          <w:rFonts w:ascii="微软雅黑" w:eastAsia="微软雅黑" w:hAnsi="微软雅黑" w:hint="eastAsia"/>
          <w:szCs w:val="21"/>
        </w:rPr>
        <w:t>月</w:t>
      </w:r>
      <w:r>
        <w:rPr>
          <w:rFonts w:ascii="微软雅黑" w:eastAsia="微软雅黑" w:hAnsi="微软雅黑" w:hint="eastAsia"/>
          <w:szCs w:val="21"/>
        </w:rPr>
        <w:t>10</w:t>
      </w:r>
      <w:r>
        <w:rPr>
          <w:rFonts w:ascii="微软雅黑" w:eastAsia="微软雅黑" w:hAnsi="微软雅黑" w:hint="eastAsia"/>
          <w:szCs w:val="21"/>
        </w:rPr>
        <w:t>日</w:t>
      </w:r>
      <w:r>
        <w:rPr>
          <w:rFonts w:ascii="微软雅黑" w:eastAsia="微软雅黑" w:hAnsi="微软雅黑"/>
          <w:szCs w:val="21"/>
        </w:rPr>
        <w:t>进行认购登记。</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szCs w:val="21"/>
        </w:rPr>
        <w:t>万份；</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392D7E" w:rsidRDefault="00D2490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rsidR="00392D7E" w:rsidRDefault="00D24908">
      <w:pPr>
        <w:spacing w:line="320" w:lineRule="exact"/>
        <w:ind w:firstLine="420"/>
        <w:rPr>
          <w:rFonts w:ascii="微软雅黑" w:eastAsia="微软雅黑" w:hAnsi="微软雅黑"/>
          <w:szCs w:val="21"/>
        </w:rPr>
      </w:pPr>
      <w:r>
        <w:rPr>
          <w:rFonts w:ascii="微软雅黑" w:eastAsia="微软雅黑" w:hAnsi="微软雅黑" w:hint="eastAsia"/>
          <w:szCs w:val="21"/>
        </w:rPr>
        <w:t>珠海华润银</w:t>
      </w:r>
      <w:r>
        <w:rPr>
          <w:rFonts w:ascii="微软雅黑" w:eastAsia="微软雅黑" w:hAnsi="微软雅黑" w:hint="eastAsia"/>
          <w:szCs w:val="21"/>
        </w:rPr>
        <w:t>行有权提前结束认购并提前成立，产品提前成立时珠海华润银行将发布公告并调整相关日期，产品最终发行量以实际募集金额为准。</w:t>
      </w:r>
    </w:p>
    <w:p w:rsidR="00392D7E" w:rsidRDefault="00D24908">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392D7E" w:rsidRDefault="00392D7E">
      <w:pPr>
        <w:adjustRightInd w:val="0"/>
        <w:snapToGrid w:val="0"/>
        <w:spacing w:line="320" w:lineRule="exact"/>
        <w:ind w:left="454"/>
        <w:rPr>
          <w:rFonts w:ascii="微软雅黑" w:eastAsia="微软雅黑" w:hAnsi="微软雅黑" w:cs="Arial"/>
          <w:b/>
          <w:szCs w:val="21"/>
        </w:rPr>
      </w:pPr>
    </w:p>
    <w:p w:rsidR="00392D7E" w:rsidRDefault="00D2490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392D7E" w:rsidRDefault="00D2490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2023</w:t>
      </w:r>
      <w:r>
        <w:rPr>
          <w:rFonts w:ascii="微软雅黑" w:eastAsia="微软雅黑" w:hAnsi="微软雅黑" w:hint="eastAsia"/>
          <w:szCs w:val="21"/>
        </w:rPr>
        <w:t>年</w:t>
      </w:r>
      <w:r>
        <w:rPr>
          <w:rFonts w:ascii="微软雅黑" w:eastAsia="微软雅黑" w:hAnsi="微软雅黑" w:hint="eastAsia"/>
          <w:szCs w:val="21"/>
        </w:rPr>
        <w:t>01</w:t>
      </w:r>
      <w:r>
        <w:rPr>
          <w:rFonts w:ascii="微软雅黑" w:eastAsia="微软雅黑" w:hAnsi="微软雅黑" w:hint="eastAsia"/>
          <w:szCs w:val="21"/>
        </w:rPr>
        <w:t>月</w:t>
      </w:r>
      <w:r>
        <w:rPr>
          <w:rFonts w:ascii="微软雅黑" w:eastAsia="微软雅黑" w:hAnsi="微软雅黑" w:hint="eastAsia"/>
          <w:szCs w:val="21"/>
        </w:rPr>
        <w:t>10</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，具体请以珠海华润银行公告为准。</w:t>
      </w:r>
    </w:p>
    <w:p w:rsidR="00392D7E" w:rsidRDefault="00D2490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w:t>
      </w:r>
      <w:r>
        <w:rPr>
          <w:rFonts w:ascii="微软雅黑" w:eastAsia="微软雅黑" w:hAnsi="微软雅黑" w:hint="eastAsia"/>
          <w:szCs w:val="21"/>
        </w:rPr>
        <w:t>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w:t>
      </w:r>
      <w:r>
        <w:rPr>
          <w:rFonts w:ascii="微软雅黑" w:eastAsia="微软雅黑" w:hAnsi="微软雅黑" w:hint="eastAsia"/>
          <w:szCs w:val="21"/>
        </w:rPr>
        <w:lastRenderedPageBreak/>
        <w:t>户指定账户。若客户持有的该理财产品份额被冻结，被冻结的份额将不参与部分提前终止。</w:t>
      </w:r>
    </w:p>
    <w:p w:rsidR="00392D7E" w:rsidRDefault="00D24908">
      <w:pPr>
        <w:pStyle w:val="ab"/>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因不可抗力因素导致本理财产品无法继续运作；</w:t>
      </w:r>
    </w:p>
    <w:p w:rsidR="00392D7E" w:rsidRDefault="00D24908">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392D7E" w:rsidRDefault="00D24908">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rsidR="00392D7E" w:rsidRDefault="00D24908">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392D7E" w:rsidRDefault="00D24908">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392D7E" w:rsidRDefault="00D24908">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392D7E" w:rsidRDefault="00392D7E">
      <w:pPr>
        <w:adjustRightInd w:val="0"/>
        <w:snapToGrid w:val="0"/>
        <w:spacing w:line="320" w:lineRule="exact"/>
        <w:rPr>
          <w:rFonts w:ascii="微软雅黑" w:eastAsia="微软雅黑" w:hAnsi="微软雅黑" w:cs="Arial"/>
          <w:b/>
          <w:szCs w:val="21"/>
        </w:rPr>
      </w:pPr>
    </w:p>
    <w:p w:rsidR="00392D7E" w:rsidRDefault="00D2490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392D7E" w:rsidRDefault="00D24908">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w:t>
      </w:r>
      <w:r>
        <w:rPr>
          <w:rFonts w:ascii="微软雅黑" w:eastAsia="微软雅黑" w:hAnsi="微软雅黑" w:hint="eastAsia"/>
          <w:szCs w:val="21"/>
        </w:rPr>
        <w:t>。产品到期后，客户可获得总收益可能存在如下三种情景：</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：扣除产品各项费用（包括不限于托管费、运营服务费、销售手续费和固定投资管理费），投资</w:t>
      </w:r>
      <w:r>
        <w:rPr>
          <w:rFonts w:ascii="微软雅黑" w:eastAsia="微软雅黑" w:hAnsi="微软雅黑" w:hint="eastAsia"/>
          <w:szCs w:val="21"/>
        </w:rPr>
        <w:t>收益超过业绩比较基准。</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w:t>
      </w:r>
      <w:r>
        <w:rPr>
          <w:rFonts w:ascii="微软雅黑" w:eastAsia="微软雅黑" w:hAnsi="微软雅黑" w:hint="eastAsia"/>
          <w:szCs w:val="21"/>
        </w:rPr>
        <w:t>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份（即存续期中未发生提前终止或其他情形），扣除产品各项费用（包括不限于托管费、运营服务费、销售手续费和固定投资管理费）后，如产品净值为</w:t>
      </w:r>
      <w:r>
        <w:rPr>
          <w:rFonts w:ascii="微软雅黑" w:eastAsia="微软雅黑" w:hAnsi="微软雅黑"/>
          <w:szCs w:val="21"/>
        </w:rPr>
        <w:t>1.</w:t>
      </w:r>
      <w:r>
        <w:rPr>
          <w:rFonts w:ascii="微软雅黑" w:eastAsia="微软雅黑" w:hAnsi="微软雅黑" w:hint="eastAsia"/>
          <w:szCs w:val="21"/>
        </w:rPr>
        <w:t>0542</w:t>
      </w:r>
      <w:r>
        <w:rPr>
          <w:rFonts w:ascii="微软雅黑" w:eastAsia="微软雅黑" w:hAnsi="微软雅黑" w:hint="eastAsia"/>
          <w:szCs w:val="21"/>
        </w:rPr>
        <w:t>0000</w:t>
      </w:r>
      <w:r>
        <w:rPr>
          <w:rFonts w:ascii="微软雅黑" w:eastAsia="微软雅黑" w:hAnsi="微软雅黑" w:hint="eastAsia"/>
          <w:szCs w:val="21"/>
        </w:rPr>
        <w:t>，</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w:t>
      </w:r>
      <w:r>
        <w:rPr>
          <w:rFonts w:ascii="微软雅黑" w:eastAsia="微软雅黑" w:hAnsi="微软雅黑" w:hint="eastAsia"/>
          <w:szCs w:val="21"/>
        </w:rPr>
        <w:t>0000</w:t>
      </w:r>
      <w:r>
        <w:rPr>
          <w:rFonts w:ascii="微软雅黑" w:eastAsia="微软雅黑" w:hAnsi="微软雅黑" w:hint="eastAsia"/>
          <w:szCs w:val="21"/>
        </w:rPr>
        <w:t>/1.0000</w:t>
      </w:r>
      <w:r>
        <w:rPr>
          <w:rFonts w:ascii="微软雅黑" w:eastAsia="微软雅黑" w:hAnsi="微软雅黑" w:hint="eastAsia"/>
          <w:szCs w:val="21"/>
        </w:rPr>
        <w:t>0000</w:t>
      </w:r>
      <w:r>
        <w:rPr>
          <w:rFonts w:ascii="微软雅黑" w:eastAsia="微软雅黑" w:hAnsi="微软雅黑" w:hint="eastAsia"/>
          <w:szCs w:val="21"/>
        </w:rPr>
        <w:t>-1)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w:t>
      </w:r>
      <w:r>
        <w:rPr>
          <w:rFonts w:ascii="微软雅黑" w:eastAsia="微软雅黑" w:hAnsi="微软雅黑" w:hint="eastAsia"/>
          <w:szCs w:val="21"/>
        </w:rPr>
        <w:t>0000</w:t>
      </w:r>
      <w:r>
        <w:rPr>
          <w:rFonts w:ascii="微软雅黑" w:eastAsia="微软雅黑" w:hAnsi="微软雅黑" w:hint="eastAsia"/>
          <w:szCs w:val="21"/>
        </w:rPr>
        <w:t>-1.0000</w:t>
      </w:r>
      <w:r>
        <w:rPr>
          <w:rFonts w:ascii="微软雅黑" w:eastAsia="微软雅黑" w:hAnsi="微软雅黑" w:hint="eastAsia"/>
          <w:szCs w:val="21"/>
        </w:rPr>
        <w:t>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w:t>
      </w:r>
      <w:r>
        <w:rPr>
          <w:rFonts w:ascii="微软雅黑" w:eastAsia="微软雅黑" w:hAnsi="微软雅黑" w:hint="eastAsia"/>
          <w:szCs w:val="21"/>
        </w:rPr>
        <w:t>4</w:t>
      </w:r>
      <w:r>
        <w:rPr>
          <w:rFonts w:ascii="微软雅黑" w:eastAsia="微软雅黑" w:hAnsi="微软雅黑" w:hint="eastAsia"/>
          <w:szCs w:val="21"/>
        </w:rPr>
        <w:t>（元）</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扣除浮动投资管理费后，客户最终收益为：</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w:t>
      </w:r>
      <w:r>
        <w:rPr>
          <w:rFonts w:ascii="微软雅黑" w:eastAsia="微软雅黑" w:hAnsi="微软雅黑" w:hint="eastAsia"/>
          <w:szCs w:val="21"/>
        </w:rPr>
        <w:t>0000</w:t>
      </w:r>
      <w:r>
        <w:rPr>
          <w:rFonts w:ascii="微软雅黑" w:eastAsia="微软雅黑" w:hAnsi="微软雅黑" w:hint="eastAsia"/>
          <w:szCs w:val="21"/>
        </w:rPr>
        <w:t>-1.0000</w:t>
      </w:r>
      <w:r>
        <w:rPr>
          <w:rFonts w:ascii="微软雅黑" w:eastAsia="微软雅黑" w:hAnsi="微软雅黑" w:hint="eastAsia"/>
          <w:szCs w:val="21"/>
        </w:rPr>
        <w:t>0000</w:t>
      </w:r>
      <w:r>
        <w:rPr>
          <w:rFonts w:ascii="微软雅黑" w:eastAsia="微软雅黑" w:hAnsi="微软雅黑" w:hint="eastAsia"/>
          <w:szCs w:val="21"/>
        </w:rPr>
        <w:t>）</w:t>
      </w:r>
      <w:r>
        <w:rPr>
          <w:rFonts w:ascii="微软雅黑" w:eastAsia="微软雅黑" w:hAnsi="微软雅黑" w:hint="eastAsia"/>
          <w:szCs w:val="21"/>
        </w:rPr>
        <w:t>-244.2</w:t>
      </w:r>
      <w:r>
        <w:rPr>
          <w:rFonts w:ascii="微软雅黑" w:eastAsia="微软雅黑" w:hAnsi="微软雅黑" w:hint="eastAsia"/>
          <w:szCs w:val="21"/>
        </w:rPr>
        <w:t>4</w:t>
      </w:r>
      <w:r>
        <w:rPr>
          <w:rFonts w:ascii="微软雅黑" w:eastAsia="微软雅黑" w:hAnsi="微软雅黑" w:hint="eastAsia"/>
          <w:szCs w:val="21"/>
        </w:rPr>
        <w:t>=2,465.7</w:t>
      </w:r>
      <w:r>
        <w:rPr>
          <w:rFonts w:ascii="微软雅黑" w:eastAsia="微软雅黑" w:hAnsi="微软雅黑" w:hint="eastAsia"/>
          <w:szCs w:val="21"/>
        </w:rPr>
        <w:t>6</w:t>
      </w:r>
      <w:r>
        <w:rPr>
          <w:rFonts w:ascii="微软雅黑" w:eastAsia="微软雅黑" w:hAnsi="微软雅黑" w:hint="eastAsia"/>
          <w:szCs w:val="21"/>
        </w:rPr>
        <w:t>（元）。</w:t>
      </w:r>
    </w:p>
    <w:p w:rsidR="00392D7E" w:rsidRDefault="00392D7E">
      <w:pPr>
        <w:spacing w:line="320" w:lineRule="exact"/>
        <w:ind w:firstLineChars="200" w:firstLine="420"/>
        <w:rPr>
          <w:rFonts w:ascii="微软雅黑" w:eastAsia="微软雅黑" w:hAnsi="微软雅黑"/>
          <w:szCs w:val="21"/>
        </w:rPr>
      </w:pP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情景二：扣除产品各项费用（包括不限于托管费、运营服务费、销售手续费和固定投资管理费）后，投资收益未达到业绩比较基准</w:t>
      </w:r>
      <w:r>
        <w:rPr>
          <w:rFonts w:ascii="微软雅黑" w:eastAsia="微软雅黑" w:hAnsi="微软雅黑" w:hint="eastAsia"/>
          <w:szCs w:val="21"/>
        </w:rPr>
        <w:t>，</w:t>
      </w:r>
      <w:r>
        <w:rPr>
          <w:rFonts w:ascii="微软雅黑" w:eastAsia="微软雅黑" w:hAnsi="微软雅黑" w:hint="eastAsia"/>
          <w:szCs w:val="21"/>
        </w:rPr>
        <w:t>但珠海华润银行收取的固定投资管理费能够覆盖差额部分。</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w:t>
      </w:r>
      <w:r>
        <w:rPr>
          <w:rFonts w:ascii="微软雅黑" w:eastAsia="微软雅黑" w:hAnsi="微软雅黑" w:hint="eastAsia"/>
          <w:szCs w:val="21"/>
        </w:rPr>
        <w:t>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份（即存续期中未发生提前终止或其他情形），扣除产品各项费用（包括不限于托管费、运营服务费、销售手续费和固定投资管理费）后，如产品净值为</w:t>
      </w:r>
      <w:r>
        <w:rPr>
          <w:rFonts w:ascii="微软雅黑" w:eastAsia="微软雅黑" w:hAnsi="微软雅黑"/>
          <w:szCs w:val="21"/>
        </w:rPr>
        <w:t>1.</w:t>
      </w:r>
      <w:r>
        <w:rPr>
          <w:rFonts w:ascii="微软雅黑" w:eastAsia="微软雅黑" w:hAnsi="微软雅黑" w:hint="eastAsia"/>
          <w:szCs w:val="21"/>
        </w:rPr>
        <w:t>0485</w:t>
      </w:r>
      <w:r>
        <w:rPr>
          <w:rFonts w:ascii="微软雅黑" w:eastAsia="微软雅黑" w:hAnsi="微软雅黑" w:hint="eastAsia"/>
          <w:szCs w:val="21"/>
        </w:rPr>
        <w:t>0000</w:t>
      </w:r>
      <w:r>
        <w:rPr>
          <w:rFonts w:ascii="微软雅黑" w:eastAsia="微软雅黑" w:hAnsi="微软雅黑" w:hint="eastAsia"/>
          <w:szCs w:val="21"/>
        </w:rPr>
        <w:t>，</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w:t>
      </w:r>
      <w:r>
        <w:rPr>
          <w:rFonts w:ascii="微软雅黑" w:eastAsia="微软雅黑" w:hAnsi="微软雅黑" w:hint="eastAsia"/>
          <w:szCs w:val="21"/>
        </w:rPr>
        <w:t>0000</w:t>
      </w:r>
      <w:r>
        <w:rPr>
          <w:rFonts w:ascii="微软雅黑" w:eastAsia="微软雅黑" w:hAnsi="微软雅黑"/>
          <w:szCs w:val="21"/>
        </w:rPr>
        <w:t>/1.00</w:t>
      </w:r>
      <w:r>
        <w:rPr>
          <w:rFonts w:ascii="微软雅黑" w:eastAsia="微软雅黑" w:hAnsi="微软雅黑" w:hint="eastAsia"/>
          <w:szCs w:val="21"/>
        </w:rPr>
        <w:t>00</w:t>
      </w:r>
      <w:r>
        <w:rPr>
          <w:rFonts w:ascii="微软雅黑" w:eastAsia="微软雅黑" w:hAnsi="微软雅黑" w:hint="eastAsia"/>
          <w:szCs w:val="21"/>
        </w:rPr>
        <w:t>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，使得客户收益达到业绩比较基准。</w:t>
      </w:r>
    </w:p>
    <w:p w:rsidR="00392D7E" w:rsidRDefault="00392D7E">
      <w:pPr>
        <w:spacing w:line="320" w:lineRule="exact"/>
        <w:ind w:firstLineChars="200" w:firstLine="420"/>
        <w:rPr>
          <w:rFonts w:ascii="微软雅黑" w:eastAsia="微软雅黑" w:hAnsi="微软雅黑"/>
          <w:szCs w:val="21"/>
        </w:rPr>
      </w:pP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w:t>
      </w:r>
      <w:r>
        <w:rPr>
          <w:rFonts w:ascii="微软雅黑" w:eastAsia="微软雅黑" w:hAnsi="微软雅黑" w:hint="eastAsia"/>
          <w:szCs w:val="21"/>
        </w:rPr>
        <w:t>各项费用（包括不限于托管费、运营服务费、销售手续费和固定投资管理费）后，投资收益未达到业绩比较基准</w:t>
      </w:r>
      <w:r>
        <w:rPr>
          <w:rFonts w:ascii="微软雅黑" w:eastAsia="微软雅黑" w:hAnsi="微软雅黑" w:hint="eastAsia"/>
          <w:szCs w:val="21"/>
        </w:rPr>
        <w:t>，</w:t>
      </w:r>
      <w:r>
        <w:rPr>
          <w:rFonts w:ascii="微软雅黑" w:eastAsia="微软雅黑" w:hAnsi="微软雅黑" w:hint="eastAsia"/>
          <w:szCs w:val="21"/>
        </w:rPr>
        <w:t>且以管理人收取的固定投资管理费为限进行回补不能够覆盖差额部分。</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w:t>
      </w:r>
      <w:r>
        <w:rPr>
          <w:rFonts w:ascii="微软雅黑" w:eastAsia="微软雅黑" w:hAnsi="微软雅黑" w:hint="eastAsia"/>
          <w:szCs w:val="21"/>
        </w:rPr>
        <w:t>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w:t>
      </w:r>
      <w:r>
        <w:rPr>
          <w:rFonts w:ascii="微软雅黑" w:eastAsia="微软雅黑" w:hAnsi="微软雅黑" w:hint="eastAsia"/>
          <w:szCs w:val="21"/>
        </w:rPr>
        <w:lastRenderedPageBreak/>
        <w:t>情形），扣除产品各项费用（包括不限于托管费、运营服务费、销售手续费和固定投资管理费）后，如产品净值为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hint="eastAsia"/>
          <w:szCs w:val="21"/>
        </w:rPr>
        <w:t>=3.16%&lt;5%</w:t>
      </w:r>
      <w:r>
        <w:rPr>
          <w:rFonts w:ascii="微软雅黑" w:eastAsia="微软雅黑" w:hAnsi="微软雅黑" w:hint="eastAsia"/>
          <w:szCs w:val="21"/>
        </w:rPr>
        <w:t>，</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w:t>
      </w:r>
    </w:p>
    <w:p w:rsidR="00392D7E" w:rsidRDefault="00D24908">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rsidR="00392D7E" w:rsidRDefault="00D2490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w:t>
      </w:r>
      <w:r>
        <w:rPr>
          <w:rFonts w:ascii="微软雅黑" w:eastAsia="微软雅黑" w:hAnsi="微软雅黑"/>
          <w:szCs w:val="21"/>
        </w:rPr>
        <w:t>T</w:t>
      </w:r>
      <w:r>
        <w:rPr>
          <w:rFonts w:ascii="微软雅黑" w:eastAsia="微软雅黑" w:hAnsi="微软雅黑" w:hint="eastAsia"/>
          <w:szCs w:val="21"/>
        </w:rPr>
        <w:t>日对</w:t>
      </w:r>
      <w:r>
        <w:rPr>
          <w:rFonts w:ascii="微软雅黑" w:eastAsia="微软雅黑" w:hAnsi="微软雅黑"/>
          <w:szCs w:val="21"/>
        </w:rPr>
        <w:t>T-1</w:t>
      </w:r>
      <w:r>
        <w:rPr>
          <w:rFonts w:ascii="微软雅黑" w:eastAsia="微软雅黑" w:hAnsi="微软雅黑" w:hint="eastAsia"/>
          <w:szCs w:val="21"/>
        </w:rPr>
        <w:t>日持有资产进行估值，</w:t>
      </w:r>
      <w:r>
        <w:rPr>
          <w:rFonts w:ascii="微软雅黑" w:eastAsia="微软雅黑" w:hAnsi="微软雅黑"/>
          <w:szCs w:val="21"/>
        </w:rPr>
        <w:t>T</w:t>
      </w:r>
      <w:r>
        <w:rPr>
          <w:rFonts w:ascii="微软雅黑" w:eastAsia="微软雅黑" w:hAnsi="微软雅黑" w:hint="eastAsia"/>
          <w:szCs w:val="21"/>
        </w:rPr>
        <w:t>日、</w:t>
      </w:r>
      <w:r>
        <w:rPr>
          <w:rFonts w:ascii="微软雅黑" w:eastAsia="微软雅黑" w:hAnsi="微软雅黑"/>
          <w:szCs w:val="21"/>
        </w:rPr>
        <w:t>T-1</w:t>
      </w:r>
      <w:r>
        <w:rPr>
          <w:rFonts w:ascii="微软雅黑" w:eastAsia="微软雅黑" w:hAnsi="微软雅黑" w:hint="eastAsia"/>
          <w:szCs w:val="21"/>
        </w:rPr>
        <w:t>日均为工作日，非工作日不进行估值。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货币市场工具类的估值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）银行存款以本金列示，逐日计提利息；</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债券类的估值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）以持有到期为目的持有的债券</w:t>
      </w:r>
      <w:proofErr w:type="gramStart"/>
      <w:r>
        <w:rPr>
          <w:rFonts w:ascii="微软雅黑" w:eastAsia="微软雅黑" w:hAnsi="微软雅黑" w:hint="eastAsia"/>
          <w:szCs w:val="21"/>
        </w:rPr>
        <w:t>按摊余成本</w:t>
      </w:r>
      <w:proofErr w:type="gramEnd"/>
      <w:r>
        <w:rPr>
          <w:rFonts w:ascii="微软雅黑" w:eastAsia="微软雅黑" w:hAnsi="微软雅黑" w:hint="eastAsia"/>
          <w:szCs w:val="21"/>
        </w:rPr>
        <w:t>法估值；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）以交易为目的持有的债券按市价法估值。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债权类项目的估值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）非标债权类项目以摊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）标准化债权项目中，以持有到期为目的持有的债权</w:t>
      </w:r>
      <w:proofErr w:type="gramStart"/>
      <w:r>
        <w:rPr>
          <w:rFonts w:ascii="微软雅黑" w:eastAsia="微软雅黑" w:hAnsi="微软雅黑" w:hint="eastAsia"/>
          <w:szCs w:val="21"/>
        </w:rPr>
        <w:t>按摊余成本</w:t>
      </w:r>
      <w:proofErr w:type="gramEnd"/>
      <w:r>
        <w:rPr>
          <w:rFonts w:ascii="微软雅黑" w:eastAsia="微软雅黑" w:hAnsi="微软雅黑" w:hint="eastAsia"/>
          <w:szCs w:val="21"/>
        </w:rPr>
        <w:t>法估值，以交易为目的持有的债权按市价法估值。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w:t>
      </w:r>
      <w:r>
        <w:rPr>
          <w:rFonts w:ascii="微软雅黑" w:eastAsia="微软雅黑" w:hAnsi="微软雅黑" w:hint="eastAsia"/>
          <w:szCs w:val="21"/>
        </w:rPr>
        <w:t>他资产类估值</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其他资产存在并可以确定公允价值的，以公允价值计算，公允价值不能确定的按取得时的成本</w:t>
      </w:r>
      <w:proofErr w:type="gramStart"/>
      <w:r>
        <w:rPr>
          <w:rFonts w:ascii="微软雅黑" w:eastAsia="微软雅黑" w:hAnsi="微软雅黑" w:hint="eastAsia"/>
          <w:szCs w:val="21"/>
        </w:rPr>
        <w:t>按摊余成本</w:t>
      </w:r>
      <w:proofErr w:type="gramEnd"/>
      <w:r>
        <w:rPr>
          <w:rFonts w:ascii="微软雅黑" w:eastAsia="微软雅黑" w:hAnsi="微软雅黑" w:hint="eastAsia"/>
          <w:szCs w:val="21"/>
        </w:rPr>
        <w:t>法计算。</w:t>
      </w:r>
    </w:p>
    <w:p w:rsidR="00392D7E" w:rsidRDefault="00D24908">
      <w:pPr>
        <w:numPr>
          <w:ilvl w:val="0"/>
          <w:numId w:val="1"/>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国家有最新规定的，按其规定进行估值。</w:t>
      </w:r>
    </w:p>
    <w:p w:rsidR="00392D7E" w:rsidRDefault="00D24908">
      <w:pPr>
        <w:numPr>
          <w:ilvl w:val="255"/>
          <w:numId w:val="0"/>
        </w:num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392D7E" w:rsidRDefault="00392D7E">
      <w:pPr>
        <w:spacing w:line="320" w:lineRule="exact"/>
        <w:rPr>
          <w:rFonts w:ascii="微软雅黑" w:eastAsia="微软雅黑" w:hAnsi="微软雅黑"/>
          <w:szCs w:val="21"/>
        </w:rPr>
      </w:pPr>
    </w:p>
    <w:p w:rsidR="00392D7E" w:rsidRDefault="00D24908">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3.</w:t>
      </w:r>
      <w:r>
        <w:rPr>
          <w:rFonts w:ascii="微软雅黑" w:eastAsia="微软雅黑" w:hAnsi="微软雅黑" w:hint="eastAsia"/>
          <w:szCs w:val="21"/>
        </w:rPr>
        <w:t>理财产品存续期间，珠海华润银行将于每周公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w:t>
      </w:r>
      <w:r>
        <w:rPr>
          <w:rFonts w:ascii="微软雅黑" w:eastAsia="微软雅黑" w:hAnsi="微软雅黑" w:hint="eastAsia"/>
          <w:szCs w:val="21"/>
        </w:rPr>
        <w:t>，每年结束之日起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392D7E" w:rsidRDefault="00D24908">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392D7E" w:rsidRDefault="00392D7E">
      <w:pPr>
        <w:spacing w:line="320" w:lineRule="exact"/>
      </w:pPr>
    </w:p>
    <w:p w:rsidR="00392D7E" w:rsidRDefault="00392D7E">
      <w:pPr>
        <w:spacing w:line="320" w:lineRule="exact"/>
      </w:pPr>
    </w:p>
    <w:p w:rsidR="00392D7E" w:rsidRDefault="00392D7E">
      <w:pPr>
        <w:spacing w:line="320" w:lineRule="exact"/>
      </w:pPr>
    </w:p>
    <w:p w:rsidR="00392D7E" w:rsidRDefault="00392D7E">
      <w:pPr>
        <w:spacing w:line="320" w:lineRule="exact"/>
        <w:ind w:firstLineChars="200" w:firstLine="420"/>
        <w:rPr>
          <w:rFonts w:ascii="微软雅黑" w:eastAsia="微软雅黑" w:hAnsi="微软雅黑"/>
          <w:szCs w:val="21"/>
        </w:rPr>
      </w:pPr>
    </w:p>
    <w:sectPr w:rsidR="00392D7E">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08" w:rsidRDefault="00D24908">
      <w:r>
        <w:separator/>
      </w:r>
    </w:p>
  </w:endnote>
  <w:endnote w:type="continuationSeparator" w:id="0">
    <w:p w:rsidR="00D24908" w:rsidRDefault="00D2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7E" w:rsidRDefault="00D24908">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FC57AE">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C57AE">
      <w:rPr>
        <w:b/>
        <w:noProof/>
      </w:rPr>
      <w:t>6</w:t>
    </w:r>
    <w:r>
      <w:rPr>
        <w:b/>
        <w:sz w:val="24"/>
        <w:szCs w:val="24"/>
      </w:rPr>
      <w:fldChar w:fldCharType="end"/>
    </w:r>
  </w:p>
  <w:p w:rsidR="00392D7E" w:rsidRDefault="00392D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08" w:rsidRDefault="00D24908">
      <w:r>
        <w:separator/>
      </w:r>
    </w:p>
  </w:footnote>
  <w:footnote w:type="continuationSeparator" w:id="0">
    <w:p w:rsidR="00D24908" w:rsidRDefault="00D2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7E" w:rsidRDefault="00D24908">
    <w:pPr>
      <w:pStyle w:val="a6"/>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202101</w:t>
    </w:r>
    <w:r>
      <w:rPr>
        <w:rFonts w:ascii="微软雅黑" w:eastAsia="微软雅黑" w:hAnsi="微软雅黑" w:hint="eastAsia"/>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12D0"/>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2D7E"/>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24908"/>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C57AE"/>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B2142F"/>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7"/>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7"/>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865</Words>
  <Characters>4931</Characters>
  <Application>Microsoft Office Word</Application>
  <DocSecurity>0</DocSecurity>
  <Lines>41</Lines>
  <Paragraphs>11</Paragraphs>
  <ScaleCrop>false</ScaleCrop>
  <Company>crbank</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乐骏</cp:lastModifiedBy>
  <cp:revision>3</cp:revision>
  <cp:lastPrinted>2020-04-09T06:43:00Z</cp:lastPrinted>
  <dcterms:created xsi:type="dcterms:W3CDTF">2022-06-27T08:26:00Z</dcterms:created>
  <dcterms:modified xsi:type="dcterms:W3CDTF">2022-06-27T08:27:00Z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