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珠海华润银行润悦1号第152期理财产品说明书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珠海华润银行润悦1号第152期理财产品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润悦1号第152期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C1082921000096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2021年11月24日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2023年01月17日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419天。实际产品期限受制于银行提前终止及产品到期条款，珠海华润银行可根据情况进行调整。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2021年11月17日9:00至2021年11月23日17:00，珠海华润银行有权提前结束认购并调整相关日期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4.18％（年化）。该业绩比较基准仅作为计算浮动管理费的依据，不构成珠海华润银行对本理财产品的任何收益承诺。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2021年11月24日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2023年01月17日（以实际到期日为准）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4F4610BB"/>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2021-11-17T06:48:23Z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