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bookmarkStart w:id="2" w:name="_GoBack"/>
      <w:bookmarkEnd w:id="2"/>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珠海华润银行润悦1号第142期理财产品说明书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珠海华润银行润悦1号第142期理财产品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润悦1号第142期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C1082921000086</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募集规模不超过10000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2021年11月03日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2022年02月09日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98天。实际产品期限受制于银行提前终止及产品到期条款，珠海华润银行可根据情况进行调整。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hint="default" w:ascii="微软雅黑" w:hAnsi="微软雅黑" w:eastAsia="微软雅黑"/>
                <w:szCs w:val="21"/>
                <w:u w:val="single"/>
                <w:lang w:val="en-US" w:eastAsia="zh-CN"/>
              </w:rPr>
            </w:pPr>
            <w:r>
              <w:rPr>
                <w:rFonts w:hint="eastAsia" w:ascii="微软雅黑" w:hAnsi="微软雅黑" w:eastAsia="微软雅黑"/>
                <w:szCs w:val="21"/>
              </w:rPr>
              <w:t>认购起点金额为5万元；超过认购起点部分，以1000元递增。</w:t>
            </w:r>
            <w:r>
              <w:rPr>
                <w:rFonts w:hint="eastAsia" w:ascii="微软雅黑" w:hAnsi="微软雅黑" w:eastAsia="微软雅黑"/>
                <w:szCs w:val="21"/>
                <w:lang w:eastAsia="zh-CN"/>
              </w:rPr>
              <w:t>原则上单一客户购买累计金额不超过</w:t>
            </w:r>
            <w:r>
              <w:rPr>
                <w:rFonts w:hint="eastAsia" w:ascii="微软雅黑" w:hAnsi="微软雅黑" w:eastAsia="微软雅黑"/>
                <w:szCs w:val="21"/>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2021年10月27日9:00至2021年11月02日17:00，珠海华润银行有权提前结束认购并调整相关日期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4.05％（年化）。该业绩比较基准仅作为计算浮动管理费的依据，不构成珠海华润银行对本理财产品的任何收益承诺。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二、浮动费用</w:t>
            </w:r>
          </w:p>
          <w:p>
            <w:pPr>
              <w:spacing w:line="320" w:lineRule="exact"/>
              <w:rPr>
                <w:rFonts w:hint="eastAsia" w:ascii="微软雅黑" w:hAnsi="微软雅黑" w:eastAsia="微软雅黑"/>
                <w:szCs w:val="21"/>
              </w:rPr>
            </w:pPr>
            <w:r>
              <w:rPr>
                <w:rFonts w:hint="eastAsia" w:ascii="微软雅黑" w:hAnsi="微软雅黑" w:eastAsia="微软雅黑"/>
                <w:szCs w:val="21"/>
              </w:rPr>
              <w:t>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r>
              <w:rPr>
                <w:rFonts w:hint="eastAsia" w:ascii="微软雅黑" w:hAnsi="微软雅黑" w:eastAsia="微软雅黑"/>
                <w:szCs w:val="21"/>
                <w:lang w:eastAsia="zh-CN"/>
              </w:rPr>
              <w:t>计提频率为产品每一估值日。</w:t>
            </w:r>
          </w:p>
          <w:p>
            <w:pPr>
              <w:spacing w:line="320" w:lineRule="exact"/>
              <w:rPr>
                <w:rFonts w:hint="eastAsia"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三、固定投资管理费回拨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属于固定收益类产品。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、股权收益权、信托计划、资管计划</w:t>
      </w:r>
      <w:r>
        <w:rPr>
          <w:rFonts w:hint="eastAsia" w:ascii="微软雅黑" w:hAnsi="微软雅黑" w:eastAsia="微软雅黑"/>
          <w:szCs w:val="21"/>
        </w:rPr>
        <w:t>等。</w:t>
      </w:r>
    </w:p>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2021年11月03日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2022年02月09日（以实际到期日为准）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lang w:eastAsia="zh-CN"/>
        </w:rPr>
        <w:t>，固定投资管理费</w:t>
      </w:r>
      <w:r>
        <w:rPr>
          <w:rFonts w:hint="eastAsia" w:ascii="微软雅黑" w:hAnsi="微软雅黑" w:eastAsia="微软雅黑"/>
          <w:szCs w:val="21"/>
          <w:lang w:val="en-US" w:eastAsia="zh-CN"/>
        </w:rPr>
        <w:t>0.10%/年</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×(1+5.00%×360/365)]= 244.2</w:t>
      </w:r>
      <w:r>
        <w:rPr>
          <w:rFonts w:hint="eastAsia" w:ascii="微软雅黑" w:hAnsi="微软雅黑" w:eastAsia="微软雅黑"/>
          <w:szCs w:val="21"/>
          <w:lang w:val="en-US" w:eastAsia="zh-CN"/>
        </w:rPr>
        <w:t>4</w:t>
      </w:r>
      <w:r>
        <w:rPr>
          <w:rFonts w:hint="eastAsia" w:ascii="微软雅黑" w:hAnsi="微软雅黑" w:eastAsia="微软雅黑"/>
          <w:szCs w:val="21"/>
        </w:rPr>
        <w:t>（元）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）-244.2</w:t>
      </w:r>
      <w:r>
        <w:rPr>
          <w:rFonts w:hint="eastAsia" w:ascii="微软雅黑" w:hAnsi="微软雅黑" w:eastAsia="微软雅黑"/>
          <w:szCs w:val="21"/>
          <w:lang w:val="en-US" w:eastAsia="zh-CN"/>
        </w:rPr>
        <w:t>4</w:t>
      </w:r>
      <w:r>
        <w:rPr>
          <w:rFonts w:hint="eastAsia" w:ascii="微软雅黑" w:hAnsi="微软雅黑" w:eastAsia="微软雅黑"/>
          <w:szCs w:val="21"/>
        </w:rPr>
        <w:t>=2,465.7</w:t>
      </w:r>
      <w:r>
        <w:rPr>
          <w:rFonts w:hint="eastAsia" w:ascii="微软雅黑" w:hAnsi="微软雅黑" w:eastAsia="微软雅黑"/>
          <w:szCs w:val="21"/>
          <w:lang w:val="en-US" w:eastAsia="zh-CN"/>
        </w:rPr>
        <w:t>6</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但珠海华润银行收取的固定投资管理费能够覆盖差额部分。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08</w:t>
      </w:r>
      <w:r>
        <w:rPr>
          <w:rFonts w:hint="eastAsia" w:ascii="微软雅黑" w:hAnsi="微软雅黑" w:eastAsia="微软雅黑"/>
          <w:szCs w:val="21"/>
        </w:rPr>
        <w:t>%，使得客户收益达到业绩比较基准。</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且以管理人收取的固定投资管理费为限进行回补不能够覆盖差额部分。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hint="eastAsia" w:ascii="微软雅黑" w:hAnsi="微软雅黑" w:eastAsia="微软雅黑"/>
          <w:szCs w:val="21"/>
          <w:lang w:val="en-US" w:eastAsia="zh-CN"/>
        </w:rPr>
        <w:t>1.03120000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lang w:eastAsia="zh-CN"/>
        </w:rPr>
        <w:t>此时，（</w:t>
      </w:r>
      <w:r>
        <w:rPr>
          <w:rFonts w:hint="eastAsia" w:ascii="微软雅黑" w:hAnsi="微软雅黑" w:eastAsia="微软雅黑"/>
          <w:szCs w:val="21"/>
          <w:lang w:val="en-US" w:eastAsia="zh-CN"/>
        </w:rPr>
        <w:t>1.03120000/1.000000000-1)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hint="eastAsia" w:ascii="微软雅黑" w:hAnsi="微软雅黑" w:eastAsia="微软雅黑"/>
          <w:szCs w:val="21"/>
          <w:lang w:val="en-US" w:eastAsia="zh-CN"/>
        </w:rPr>
        <w:t>=3.16%&lt;5%，</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10</w:t>
      </w:r>
      <w:r>
        <w:rPr>
          <w:rFonts w:hint="eastAsia" w:ascii="微软雅黑" w:hAnsi="微软雅黑" w:eastAsia="微软雅黑"/>
          <w:szCs w:val="21"/>
        </w:rPr>
        <w:t>%。</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39B0E3B"/>
    <w:rsid w:val="0543058E"/>
    <w:rsid w:val="0923509C"/>
    <w:rsid w:val="0A785E9B"/>
    <w:rsid w:val="0C156F3E"/>
    <w:rsid w:val="0C244CE7"/>
    <w:rsid w:val="0D004E3D"/>
    <w:rsid w:val="107C2FD5"/>
    <w:rsid w:val="112E4BAC"/>
    <w:rsid w:val="1B0D6F46"/>
    <w:rsid w:val="1CC066DC"/>
    <w:rsid w:val="1E1976EB"/>
    <w:rsid w:val="208B4876"/>
    <w:rsid w:val="225124A7"/>
    <w:rsid w:val="228D6020"/>
    <w:rsid w:val="27F84452"/>
    <w:rsid w:val="2BC3014A"/>
    <w:rsid w:val="2FFD63EE"/>
    <w:rsid w:val="32CE41E8"/>
    <w:rsid w:val="33AE2BE8"/>
    <w:rsid w:val="34420088"/>
    <w:rsid w:val="34963AB6"/>
    <w:rsid w:val="353D1B60"/>
    <w:rsid w:val="367F52CA"/>
    <w:rsid w:val="36EA2875"/>
    <w:rsid w:val="370F1A24"/>
    <w:rsid w:val="3ABC244E"/>
    <w:rsid w:val="3DA513D2"/>
    <w:rsid w:val="3E4A7A3F"/>
    <w:rsid w:val="3EDF5E20"/>
    <w:rsid w:val="426746F0"/>
    <w:rsid w:val="44251D0F"/>
    <w:rsid w:val="481F78B1"/>
    <w:rsid w:val="4A4235FD"/>
    <w:rsid w:val="4A5E4336"/>
    <w:rsid w:val="540B7FD6"/>
    <w:rsid w:val="54E47877"/>
    <w:rsid w:val="557C5852"/>
    <w:rsid w:val="56D107E3"/>
    <w:rsid w:val="582F464A"/>
    <w:rsid w:val="59696BD3"/>
    <w:rsid w:val="5A4B5283"/>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kejunjie</cp:lastModifiedBy>
  <cp:lastPrinted>2020-04-09T06:43:00Z</cp:lastPrinted>
  <dcterms:modified xsi:type="dcterms:W3CDTF">2021-11-02T07:37:36Z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