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珠海华润银行润悦1号第138期理财产品说明书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珠海华润银行润悦1号第138期理财产品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润悦1号第138期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C1082921000082</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bookmarkStart w:id="2" w:name="_GoBack"/>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2021年10月20日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2023年01月05日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442天。实际产品期限受制于银行提前终止及产品到期条款，珠海华润银行可根据情况进行调整。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2021年10月13日9:00至2021年10月19日17:00，珠海华润银行有权提前结束认购并调整相关日期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4.28％（年化）。该业绩比较基准仅作为计算浮动管理费的依据，不构成珠海华润银行对本理财产品的任何收益承诺。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浮动投资管理费精确到小数点后</w:t>
            </w:r>
            <w:r>
              <w:rPr>
                <w:rFonts w:hint="eastAsia" w:ascii="微软雅黑" w:hAnsi="微软雅黑" w:eastAsia="微软雅黑"/>
                <w:szCs w:val="21"/>
                <w:lang w:val="en-US" w:eastAsia="zh-CN"/>
              </w:rPr>
              <w:t>2位，小数点2位以后舍位。</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2021年10月20日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2023年01月05日（以实际到期日为准）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C156F3E"/>
    <w:rsid w:val="0C244CE7"/>
    <w:rsid w:val="0D004E3D"/>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47C71A8"/>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2021-10-20T03:08:24Z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