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2021年09月22日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2021年06月09日9:00至2021年06月15日17:00，珠海华润银行有权提前结束认购并调整相关日期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2021年09月22日（以实际到期日为准）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8142266"/>
    <w:rsid w:val="481F78B1"/>
    <w:rsid w:val="4A4235FD"/>
    <w:rsid w:val="540B7FD6"/>
    <w:rsid w:val="54E47877"/>
    <w:rsid w:val="557C5852"/>
    <w:rsid w:val="582F464A"/>
    <w:rsid w:val="59696BD3"/>
    <w:rsid w:val="5A4B5283"/>
    <w:rsid w:val="64D61A6C"/>
    <w:rsid w:val="65D50371"/>
    <w:rsid w:val="77CF034F"/>
    <w:rsid w:val="78377D50"/>
    <w:rsid w:val="7CC3527F"/>
    <w:rsid w:val="7DCC28E4"/>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