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珠海华润银行润悦1号第99期理财产品说明书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珠海华润银行润悦1号第99期理财产品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润悦1号第99期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C1082919001127</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2021年06月23日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2023年05月15日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691天。实际产品期限受制于银行提前终止及产品到期条款，珠海华润银行可根据情况进行调整。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2021年06月16日9:00至2021年06月22日17:00，珠海华润银行有权提前结束认购并调整相关日期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2021年06月23日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2023年05月15日（以实际到期日为准）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56B1758"/>
    <w:rsid w:val="0923509C"/>
    <w:rsid w:val="0C156F3E"/>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ABC244E"/>
    <w:rsid w:val="3DA513D2"/>
    <w:rsid w:val="3E4A7A3F"/>
    <w:rsid w:val="3EDF5E20"/>
    <w:rsid w:val="410F7D0B"/>
    <w:rsid w:val="426746F0"/>
    <w:rsid w:val="44251D0F"/>
    <w:rsid w:val="481F78B1"/>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