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珠海华润银行润悦1号第101期理财产品说明书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珠海华润银行润悦1号第101期理财产品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润悦1号第101期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C1082919001129</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募集规模不超过5100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2021年06月30日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2021年10月13日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105天。实际产品期限受制于银行提前终止及产品到期条款，珠海华润银行可根据情况进行调整。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2021年06月23日9:00至2021年06月29日17:00，珠海华润银行有权提前结束认购并调整相关日期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3.90％（年化）。该业绩比较基准仅作为计算浮动管理费的依据，不构成珠海华润银行对本理财产品的任何收益承诺。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rPr>
            </w:pPr>
            <w:bookmarkStart w:id="0" w:name="OLE_LINK2"/>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2</w:t>
            </w:r>
            <w:r>
              <w:rPr>
                <w:rFonts w:hint="eastAsia" w:ascii="微软雅黑" w:hAnsi="微软雅黑" w:eastAsia="微软雅黑"/>
                <w:szCs w:val="21"/>
              </w:rPr>
              <w:t>5%/年；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25</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浮动投资管理费：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bookmarkEnd w:id="0"/>
          </w:p>
          <w:p>
            <w:pPr>
              <w:spacing w:line="320" w:lineRule="exact"/>
              <w:rPr>
                <w:rFonts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属于混合型产品。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spacing w:line="320" w:lineRule="exact"/>
              <w:ind w:firstLine="420" w:firstLineChars="200"/>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spacing w:line="320" w:lineRule="exact"/>
              <w:ind w:firstLine="420" w:firstLineChars="200"/>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理财产品份额净值</w:t>
      </w:r>
      <w:r>
        <w:rPr>
          <w:rFonts w:ascii="微软雅黑" w:hAnsi="微软雅黑" w:eastAsia="微软雅黑"/>
          <w:szCs w:val="21"/>
        </w:rPr>
        <w:t>=</w:t>
      </w:r>
      <w:r>
        <w:rPr>
          <w:rFonts w:hint="eastAsia" w:ascii="微软雅黑" w:hAnsi="微软雅黑" w:eastAsia="微软雅黑"/>
          <w:szCs w:val="21"/>
        </w:rPr>
        <w:t>理财产品资产净值</w:t>
      </w:r>
      <w:r>
        <w:rPr>
          <w:rFonts w:ascii="微软雅黑" w:hAnsi="微软雅黑" w:eastAsia="微软雅黑"/>
          <w:szCs w:val="21"/>
        </w:rPr>
        <w:t>/</w:t>
      </w:r>
      <w:r>
        <w:rPr>
          <w:rFonts w:hint="eastAsia" w:ascii="微软雅黑" w:hAnsi="微软雅黑" w:eastAsia="微软雅黑"/>
          <w:szCs w:val="21"/>
        </w:rPr>
        <w:t>理财产品存续份额，理财产品份额净值保留至小数点后4位（保留4位小数，4位小数点后四舍五入）。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2021年06月30日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2021年10月13日（以实际到期日为准）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此时，(1.0542/1.0000-1)×365/360=5.5%&gt;5.0%，即投资收益超过业绩比较基准。假设超过的部分作为管理人的浮动投资管理费，则浮动投资管理费为：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50,000.00×[1.0542-1.0000×(1+5.00%×360/365)]= 244.25（元）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50,000.00×（1.0542-1.0000）-244.25=2,465.75（元）。</w:t>
      </w:r>
    </w:p>
    <w:p>
      <w:pPr>
        <w:spacing w:line="320" w:lineRule="exact"/>
        <w:ind w:firstLine="420" w:firstLineChars="200"/>
        <w:rPr>
          <w:rFonts w:ascii="微软雅黑" w:hAnsi="微软雅黑" w:eastAsia="微软雅黑"/>
          <w:szCs w:val="21"/>
        </w:rPr>
      </w:pPr>
      <w:bookmarkStart w:id="2" w:name="_GoBack"/>
      <w:bookmarkEnd w:id="2"/>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0485</w:t>
      </w:r>
      <w:r>
        <w:rPr>
          <w:rFonts w:ascii="微软雅黑" w:hAnsi="微软雅黑" w:eastAsia="微软雅黑"/>
          <w:szCs w:val="21"/>
        </w:rPr>
        <w:t>-1.00</w:t>
      </w:r>
      <w:r>
        <w:rPr>
          <w:rFonts w:hint="eastAsia" w:ascii="微软雅黑" w:hAnsi="微软雅黑" w:eastAsia="微软雅黑"/>
          <w:szCs w:val="21"/>
        </w:rPr>
        <w:t>00）</w:t>
      </w:r>
      <w:r>
        <w:rPr>
          <w:rFonts w:ascii="微软雅黑" w:hAnsi="微软雅黑" w:eastAsia="微软雅黑"/>
          <w:szCs w:val="21"/>
        </w:rPr>
        <w:t>=</w:t>
      </w:r>
      <w:r>
        <w:rPr>
          <w:rFonts w:hint="eastAsia" w:ascii="微软雅黑" w:hAnsi="微软雅黑" w:eastAsia="微软雅黑"/>
          <w:szCs w:val="21"/>
        </w:rPr>
        <w:t>2,425</w:t>
      </w:r>
      <w:r>
        <w:rPr>
          <w:rFonts w:ascii="微软雅黑" w:hAnsi="微软雅黑" w:eastAsia="微软雅黑"/>
          <w:szCs w:val="21"/>
        </w:rPr>
        <w:t>.00</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情景三：扣除产品各项费用（包括不限于托管费、运营服务费、销售手续费和固定投资管理费）后，投资发生亏损。</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0.9800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w:t>
      </w:r>
      <w:r>
        <w:rPr>
          <w:rFonts w:ascii="微软雅黑" w:hAnsi="微软雅黑" w:eastAsia="微软雅黑"/>
          <w:szCs w:val="21"/>
        </w:rPr>
        <w:t>0,000.00</w:t>
      </w:r>
      <w:r>
        <w:rPr>
          <w:rFonts w:hint="eastAsia" w:ascii="微软雅黑" w:hAnsi="微软雅黑" w:eastAsia="微软雅黑"/>
          <w:szCs w:val="21"/>
        </w:rPr>
        <w:t>×（</w:t>
      </w:r>
      <w:r>
        <w:rPr>
          <w:rFonts w:ascii="微软雅黑" w:hAnsi="微软雅黑" w:eastAsia="微软雅黑"/>
          <w:szCs w:val="21"/>
        </w:rPr>
        <w:t>0.9800-1.00</w:t>
      </w:r>
      <w:r>
        <w:rPr>
          <w:rFonts w:hint="eastAsia" w:ascii="微软雅黑" w:hAnsi="微软雅黑" w:eastAsia="微软雅黑"/>
          <w:szCs w:val="21"/>
        </w:rPr>
        <w:t>）</w:t>
      </w:r>
      <w:r>
        <w:rPr>
          <w:rFonts w:ascii="微软雅黑" w:hAnsi="微软雅黑" w:eastAsia="微软雅黑"/>
          <w:szCs w:val="21"/>
        </w:rPr>
        <w:t>=-</w:t>
      </w:r>
      <w:r>
        <w:rPr>
          <w:rFonts w:hint="eastAsia" w:ascii="微软雅黑" w:hAnsi="微软雅黑" w:eastAsia="微软雅黑"/>
          <w:szCs w:val="21"/>
        </w:rPr>
        <w:t>1</w:t>
      </w:r>
      <w:r>
        <w:rPr>
          <w:rFonts w:ascii="微软雅黑" w:hAnsi="微软雅黑" w:eastAsia="微软雅黑"/>
          <w:szCs w:val="21"/>
        </w:rPr>
        <w:t>,000.00</w:t>
      </w:r>
      <w:r>
        <w:rPr>
          <w:rFonts w:hint="eastAsia"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spacing w:line="320" w:lineRule="exact"/>
        <w:rPr>
          <w:rFonts w:ascii="微软雅黑" w:hAnsi="微软雅黑" w:eastAsia="微软雅黑"/>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543058E"/>
    <w:rsid w:val="0923509C"/>
    <w:rsid w:val="0C156F3E"/>
    <w:rsid w:val="107C2FD5"/>
    <w:rsid w:val="112E4BAC"/>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ABC244E"/>
    <w:rsid w:val="3DA513D2"/>
    <w:rsid w:val="3E4A7A3F"/>
    <w:rsid w:val="3EDF5E20"/>
    <w:rsid w:val="426746F0"/>
    <w:rsid w:val="44251D0F"/>
    <w:rsid w:val="47276787"/>
    <w:rsid w:val="481F78B1"/>
    <w:rsid w:val="4A4235FD"/>
    <w:rsid w:val="540B7FD6"/>
    <w:rsid w:val="54BD37A0"/>
    <w:rsid w:val="54E47877"/>
    <w:rsid w:val="557C5852"/>
    <w:rsid w:val="57BE3CCE"/>
    <w:rsid w:val="582F464A"/>
    <w:rsid w:val="59696BD3"/>
    <w:rsid w:val="5A4B5283"/>
    <w:rsid w:val="64D61A6C"/>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魏玉安</cp:lastModifiedBy>
  <cp:lastPrinted>2020-04-09T06:43:00Z</cp:lastPrinted>
  <dcterms:modified xsi:type="dcterms:W3CDTF">2021-07-27T01:24:45Z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