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rPr>
      </w:pPr>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珠海华润银行润日升理财产品说明书</w:t>
      </w:r>
    </w:p>
    <w:p>
      <w:pPr>
        <w:spacing w:line="320" w:lineRule="exact"/>
        <w:rPr>
          <w:rFonts w:ascii="微软雅黑" w:hAnsi="微软雅黑" w:eastAsia="微软雅黑"/>
          <w:szCs w:val="21"/>
        </w:rPr>
      </w:pPr>
    </w:p>
    <w:p>
      <w:pPr>
        <w:spacing w:line="300" w:lineRule="exact"/>
        <w:rPr>
          <w:rFonts w:ascii="微软雅黑" w:hAnsi="微软雅黑" w:eastAsia="微软雅黑"/>
          <w:b/>
          <w:szCs w:val="21"/>
        </w:rPr>
      </w:pPr>
      <w:r>
        <w:rPr>
          <w:rFonts w:hint="eastAsia" w:ascii="微软雅黑" w:hAnsi="微软雅黑" w:eastAsia="微软雅黑"/>
          <w:b/>
          <w:szCs w:val="21"/>
        </w:rPr>
        <w:t>重要须知</w:t>
      </w:r>
    </w:p>
    <w:p>
      <w:pPr>
        <w:pStyle w:val="8"/>
        <w:numPr>
          <w:ilvl w:val="0"/>
          <w:numId w:val="1"/>
        </w:numPr>
        <w:spacing w:line="300" w:lineRule="exact"/>
        <w:ind w:firstLineChars="0"/>
        <w:rPr>
          <w:rFonts w:ascii="微软雅黑" w:hAnsi="微软雅黑" w:eastAsia="微软雅黑"/>
          <w:szCs w:val="21"/>
        </w:rPr>
      </w:pPr>
      <w:r>
        <w:rPr>
          <w:rFonts w:hint="eastAsia" w:ascii="微软雅黑" w:hAnsi="微软雅黑" w:eastAsia="微软雅黑"/>
          <w:szCs w:val="21"/>
        </w:rPr>
        <w:t>本理财</w:t>
      </w:r>
      <w:r>
        <w:rPr>
          <w:rFonts w:hint="eastAsia" w:ascii="微软雅黑" w:hAnsi="微软雅黑" w:eastAsia="微软雅黑"/>
          <w:szCs w:val="21"/>
          <w:lang w:eastAsia="zh-CN"/>
        </w:rPr>
        <w:t>产品</w:t>
      </w:r>
      <w:r>
        <w:rPr>
          <w:rFonts w:hint="eastAsia" w:ascii="微软雅黑" w:hAnsi="微软雅黑" w:eastAsia="微软雅黑"/>
          <w:szCs w:val="21"/>
        </w:rPr>
        <w:t>与银行存款存在明显区别。产品有风险，投资需谨慎。</w:t>
      </w:r>
    </w:p>
    <w:p>
      <w:pPr>
        <w:pStyle w:val="8"/>
        <w:numPr>
          <w:ilvl w:val="0"/>
          <w:numId w:val="1"/>
        </w:numPr>
        <w:spacing w:line="300" w:lineRule="exact"/>
        <w:ind w:firstLineChars="0"/>
        <w:rPr>
          <w:rFonts w:ascii="微软雅黑" w:hAnsi="微软雅黑" w:eastAsia="微软雅黑"/>
          <w:szCs w:val="21"/>
        </w:rPr>
      </w:pPr>
      <w:r>
        <w:rPr>
          <w:rFonts w:hint="eastAsia" w:ascii="微软雅黑" w:hAnsi="微软雅黑" w:eastAsia="微软雅黑"/>
          <w:szCs w:val="21"/>
        </w:rPr>
        <w:t>本产品说明书与风险揭示书、理财产品销售协议书、客户权益须知共同组成投资者与珠海华润银行之间理财合同的不可分割之组成部分。</w:t>
      </w:r>
    </w:p>
    <w:p>
      <w:pPr>
        <w:pStyle w:val="8"/>
        <w:numPr>
          <w:ilvl w:val="0"/>
          <w:numId w:val="1"/>
        </w:numPr>
        <w:spacing w:line="300" w:lineRule="exact"/>
        <w:ind w:firstLineChars="0"/>
        <w:rPr>
          <w:rFonts w:ascii="微软雅黑" w:hAnsi="微软雅黑" w:eastAsia="微软雅黑"/>
          <w:szCs w:val="21"/>
        </w:rPr>
      </w:pPr>
      <w:r>
        <w:rPr>
          <w:rFonts w:hint="eastAsia" w:ascii="微软雅黑" w:hAnsi="微软雅黑" w:eastAsia="微软雅黑"/>
          <w:szCs w:val="21"/>
        </w:rPr>
        <w:t>在购买本理财</w:t>
      </w:r>
      <w:r>
        <w:rPr>
          <w:rFonts w:hint="eastAsia" w:ascii="微软雅黑" w:hAnsi="微软雅黑" w:eastAsia="微软雅黑"/>
          <w:szCs w:val="21"/>
          <w:lang w:eastAsia="zh-CN"/>
        </w:rPr>
        <w:t>产品</w:t>
      </w:r>
      <w:r>
        <w:rPr>
          <w:rFonts w:hint="eastAsia" w:ascii="微软雅黑" w:hAnsi="微软雅黑" w:eastAsia="微软雅黑"/>
          <w:szCs w:val="21"/>
        </w:rPr>
        <w:t>前，请投资者确保自己完全明白本理财</w:t>
      </w:r>
      <w:r>
        <w:rPr>
          <w:rFonts w:hint="eastAsia" w:ascii="微软雅黑" w:hAnsi="微软雅黑" w:eastAsia="微软雅黑"/>
          <w:szCs w:val="21"/>
          <w:lang w:eastAsia="zh-CN"/>
        </w:rPr>
        <w:t>产品</w:t>
      </w:r>
      <w:r>
        <w:rPr>
          <w:rFonts w:hint="eastAsia" w:ascii="微软雅黑" w:hAnsi="微软雅黑" w:eastAsia="微软雅黑"/>
          <w:szCs w:val="21"/>
        </w:rPr>
        <w:t>的性质、其中涉及的风险以及投资者的自身情况。详细了解和审慎评估该理财</w:t>
      </w:r>
      <w:r>
        <w:rPr>
          <w:rFonts w:hint="eastAsia" w:ascii="微软雅黑" w:hAnsi="微软雅黑" w:eastAsia="微软雅黑"/>
          <w:szCs w:val="21"/>
          <w:lang w:eastAsia="zh-CN"/>
        </w:rPr>
        <w:t>产品</w:t>
      </w:r>
      <w:r>
        <w:rPr>
          <w:rFonts w:hint="eastAsia" w:ascii="微软雅黑" w:hAnsi="微软雅黑" w:eastAsia="微软雅黑"/>
          <w:szCs w:val="21"/>
        </w:rPr>
        <w:t>的资金投资方向、风险类型及等基本情况，在慎重考虑后自行决定购买与自身风险承受能力和资产管理需求匹配的理财</w:t>
      </w:r>
      <w:r>
        <w:rPr>
          <w:rFonts w:hint="eastAsia" w:ascii="微软雅黑" w:hAnsi="微软雅黑" w:eastAsia="微软雅黑"/>
          <w:szCs w:val="21"/>
          <w:lang w:eastAsia="zh-CN"/>
        </w:rPr>
        <w:t>产品</w:t>
      </w:r>
      <w:r>
        <w:rPr>
          <w:rFonts w:hint="eastAsia" w:ascii="微软雅黑" w:hAnsi="微软雅黑" w:eastAsia="微软雅黑"/>
          <w:szCs w:val="21"/>
        </w:rPr>
        <w:t xml:space="preserve">。 </w:t>
      </w:r>
    </w:p>
    <w:p>
      <w:pPr>
        <w:pStyle w:val="8"/>
        <w:numPr>
          <w:ilvl w:val="0"/>
          <w:numId w:val="1"/>
        </w:numPr>
        <w:spacing w:line="300" w:lineRule="exact"/>
        <w:ind w:firstLineChars="0"/>
        <w:rPr>
          <w:rFonts w:ascii="微软雅黑" w:hAnsi="微软雅黑" w:eastAsia="微软雅黑"/>
          <w:szCs w:val="21"/>
        </w:rPr>
      </w:pPr>
      <w:r>
        <w:rPr>
          <w:rFonts w:hint="eastAsia" w:ascii="微软雅黑" w:hAnsi="微软雅黑" w:eastAsia="微软雅黑"/>
          <w:szCs w:val="21"/>
        </w:rPr>
        <w:t>本理财</w:t>
      </w:r>
      <w:r>
        <w:rPr>
          <w:rFonts w:hint="eastAsia" w:ascii="微软雅黑" w:hAnsi="微软雅黑" w:eastAsia="微软雅黑"/>
          <w:szCs w:val="21"/>
          <w:lang w:eastAsia="zh-CN"/>
        </w:rPr>
        <w:t>产品</w:t>
      </w:r>
      <w:r>
        <w:rPr>
          <w:rFonts w:hint="eastAsia" w:ascii="微软雅黑" w:hAnsi="微软雅黑" w:eastAsia="微软雅黑"/>
          <w:szCs w:val="21"/>
        </w:rPr>
        <w:t>存续期内，如因国家法律法规、监管规定发生变化，或是出于维持本产品正常运营的需要，在不损害投资者利益的前提下，珠海华润银行有权单方对本产品说明书进行修订。</w:t>
      </w:r>
    </w:p>
    <w:p>
      <w:pPr>
        <w:pStyle w:val="8"/>
        <w:numPr>
          <w:ilvl w:val="0"/>
          <w:numId w:val="1"/>
        </w:numPr>
        <w:spacing w:line="300" w:lineRule="exact"/>
        <w:ind w:firstLineChars="0"/>
        <w:rPr>
          <w:rFonts w:ascii="微软雅黑" w:hAnsi="微软雅黑" w:eastAsia="微软雅黑"/>
          <w:szCs w:val="21"/>
        </w:rPr>
      </w:pPr>
      <w:r>
        <w:rPr>
          <w:rFonts w:hint="eastAsia" w:ascii="微软雅黑" w:hAnsi="微软雅黑" w:eastAsia="微软雅黑"/>
          <w:szCs w:val="21"/>
        </w:rPr>
        <w:t>投资者若对本产品说明书的内容有任何疑问，请向珠海华润银行各营业网点咨询。</w:t>
      </w:r>
    </w:p>
    <w:p>
      <w:pPr>
        <w:pStyle w:val="8"/>
        <w:numPr>
          <w:ilvl w:val="0"/>
          <w:numId w:val="1"/>
        </w:numPr>
        <w:spacing w:line="300" w:lineRule="exact"/>
        <w:ind w:firstLineChars="0"/>
        <w:rPr>
          <w:rFonts w:ascii="微软雅黑" w:hAnsi="微软雅黑" w:eastAsia="微软雅黑"/>
          <w:szCs w:val="21"/>
        </w:rPr>
      </w:pPr>
      <w:r>
        <w:rPr>
          <w:rFonts w:hint="eastAsia" w:ascii="微软雅黑" w:hAnsi="微软雅黑" w:eastAsia="微软雅黑"/>
          <w:szCs w:val="21"/>
        </w:rPr>
        <w:t>本理财产品说明书解释权归珠海华润银行所有。</w:t>
      </w:r>
    </w:p>
    <w:p>
      <w:pPr>
        <w:spacing w:line="320" w:lineRule="exact"/>
        <w:rPr>
          <w:rFonts w:hint="eastAsia" w:ascii="微软雅黑" w:hAnsi="微软雅黑" w:eastAsia="微软雅黑"/>
          <w:b/>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noWrap w:val="0"/>
            <w:vAlign w:val="top"/>
          </w:tcPr>
          <w:p>
            <w:pPr>
              <w:spacing w:line="320" w:lineRule="exact"/>
              <w:rPr>
                <w:rFonts w:ascii="微软雅黑" w:hAnsi="微软雅黑" w:eastAsia="微软雅黑"/>
                <w:b/>
                <w:szCs w:val="21"/>
              </w:rPr>
            </w:pPr>
            <w:r>
              <w:rPr>
                <w:rFonts w:hint="eastAsia" w:ascii="微软雅黑" w:hAnsi="微软雅黑" w:eastAsia="微软雅黑"/>
                <w:szCs w:val="21"/>
              </w:rPr>
              <w:t>珠海华润银行润日升理财产品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noWrap w:val="0"/>
            <w:vAlign w:val="top"/>
          </w:tcPr>
          <w:p>
            <w:pPr>
              <w:spacing w:line="320" w:lineRule="exact"/>
              <w:rPr>
                <w:rFonts w:ascii="微软雅黑" w:hAnsi="微软雅黑" w:eastAsia="微软雅黑"/>
                <w:szCs w:val="21"/>
              </w:rPr>
            </w:pPr>
            <w:r>
              <w:rPr>
                <w:rFonts w:hint="eastAsia" w:ascii="微软雅黑" w:hAnsi="微软雅黑" w:eastAsia="微软雅黑"/>
                <w:szCs w:val="21"/>
              </w:rPr>
              <w:t>润日升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noWrap w:val="0"/>
            <w:vAlign w:val="top"/>
          </w:tcPr>
          <w:p>
            <w:pPr>
              <w:spacing w:line="320" w:lineRule="exact"/>
              <w:rPr>
                <w:rFonts w:ascii="微软雅黑" w:hAnsi="微软雅黑" w:eastAsia="微软雅黑"/>
                <w:szCs w:val="21"/>
              </w:rPr>
            </w:pPr>
            <w:r>
              <w:rPr>
                <w:rFonts w:hint="eastAsia" w:ascii="微软雅黑" w:hAnsi="微软雅黑" w:eastAsia="微软雅黑"/>
                <w:szCs w:val="21"/>
              </w:rPr>
              <w:t>RRS001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noWrap w:val="0"/>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C1082919001183</w:t>
            </w:r>
          </w:p>
          <w:p>
            <w:pPr>
              <w:spacing w:line="320" w:lineRule="exact"/>
              <w:rPr>
                <w:rFonts w:ascii="微软雅黑" w:hAnsi="微软雅黑" w:eastAsia="微软雅黑"/>
                <w:szCs w:val="21"/>
              </w:rPr>
            </w:pPr>
            <w:r>
              <w:rPr>
                <w:rFonts w:hint="eastAsia" w:ascii="微软雅黑" w:hAnsi="微软雅黑" w:eastAsia="微软雅黑"/>
                <w:szCs w:val="21"/>
                <w:lang w:eastAsia="zh-CN"/>
              </w:rPr>
              <w:t>投资者</w:t>
            </w:r>
            <w:r>
              <w:rPr>
                <w:rFonts w:hint="eastAsia" w:ascii="微软雅黑" w:hAnsi="微软雅黑" w:eastAsia="微软雅黑"/>
                <w:szCs w:val="21"/>
              </w:rPr>
              <w:t>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noWrap w:val="0"/>
            <w:vAlign w:val="top"/>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noWrap w:val="0"/>
            <w:vAlign w:val="top"/>
          </w:tcPr>
          <w:p>
            <w:pPr>
              <w:spacing w:line="320" w:lineRule="exact"/>
              <w:rPr>
                <w:rFonts w:ascii="微软雅黑" w:hAnsi="微软雅黑" w:eastAsia="微软雅黑"/>
                <w:szCs w:val="21"/>
              </w:rPr>
            </w:pPr>
            <w:r>
              <w:rPr>
                <w:rFonts w:hint="eastAsia" w:ascii="微软雅黑" w:hAnsi="微软雅黑" w:eastAsia="微软雅黑"/>
                <w:szCs w:val="21"/>
              </w:rPr>
              <w:t>开放式、固定收益类净值型产品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noWrap w:val="0"/>
            <w:vAlign w:val="top"/>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2014" w:type="dxa"/>
            <w:noWrap w:val="0"/>
            <w:vAlign w:val="top"/>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noWrap w:val="0"/>
            <w:vAlign w:val="top"/>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noWrap w:val="0"/>
            <w:vAlign w:val="top"/>
          </w:tcPr>
          <w:p>
            <w:pPr>
              <w:spacing w:line="320" w:lineRule="exact"/>
              <w:rPr>
                <w:rFonts w:ascii="微软雅黑" w:hAnsi="微软雅黑" w:eastAsia="微软雅黑"/>
                <w:szCs w:val="21"/>
              </w:rPr>
            </w:pPr>
            <w:r>
              <w:rPr>
                <w:rFonts w:ascii="微软雅黑" w:hAnsi="微软雅黑" w:eastAsia="微软雅黑"/>
                <w:szCs w:val="21"/>
              </w:rPr>
              <w:t>R</w:t>
            </w:r>
            <w:r>
              <w:rPr>
                <w:rFonts w:hint="eastAsia" w:ascii="微软雅黑" w:hAnsi="微软雅黑" w:eastAsia="微软雅黑"/>
                <w:szCs w:val="21"/>
                <w:lang w:val="en-US" w:eastAsia="zh-CN"/>
              </w:rPr>
              <w:t>1</w:t>
            </w:r>
            <w:r>
              <w:rPr>
                <w:rFonts w:ascii="微软雅黑" w:hAnsi="微软雅黑" w:eastAsia="微软雅黑"/>
                <w:szCs w:val="21"/>
              </w:rPr>
              <w:t>级</w:t>
            </w:r>
            <w:r>
              <w:rPr>
                <w:rFonts w:hint="eastAsia" w:ascii="微软雅黑" w:hAnsi="微软雅黑" w:eastAsia="微软雅黑"/>
                <w:szCs w:val="21"/>
              </w:rPr>
              <w:t>（本风险评级为珠海华润银行内部测评结果，仅供</w:t>
            </w:r>
            <w:r>
              <w:rPr>
                <w:rFonts w:hint="eastAsia" w:ascii="微软雅黑" w:hAnsi="微软雅黑" w:eastAsia="微软雅黑"/>
                <w:szCs w:val="21"/>
                <w:lang w:eastAsia="zh-CN"/>
              </w:rPr>
              <w:t>投资者</w:t>
            </w:r>
            <w:r>
              <w:rPr>
                <w:rFonts w:hint="eastAsia" w:ascii="微软雅黑" w:hAnsi="微软雅黑" w:eastAsia="微软雅黑"/>
                <w:szCs w:val="21"/>
              </w:rPr>
              <w:t>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适合</w:t>
            </w:r>
            <w:r>
              <w:rPr>
                <w:rFonts w:hint="eastAsia" w:ascii="微软雅黑" w:hAnsi="微软雅黑" w:eastAsia="微软雅黑"/>
                <w:szCs w:val="21"/>
                <w:lang w:eastAsia="zh-CN"/>
              </w:rPr>
              <w:t>投资者</w:t>
            </w:r>
          </w:p>
        </w:tc>
        <w:tc>
          <w:tcPr>
            <w:tcW w:w="7200" w:type="dxa"/>
            <w:noWrap w:val="0"/>
            <w:vAlign w:val="top"/>
          </w:tcPr>
          <w:p>
            <w:pPr>
              <w:spacing w:line="320" w:lineRule="exact"/>
              <w:rPr>
                <w:rFonts w:ascii="微软雅黑" w:hAnsi="微软雅黑" w:eastAsia="微软雅黑"/>
                <w:szCs w:val="21"/>
              </w:rPr>
            </w:pPr>
            <w:r>
              <w:rPr>
                <w:rFonts w:hint="eastAsia" w:ascii="微软雅黑" w:hAnsi="微软雅黑" w:eastAsia="微软雅黑"/>
                <w:szCs w:val="21"/>
              </w:rPr>
              <w:t>机构</w:t>
            </w:r>
            <w:r>
              <w:rPr>
                <w:rFonts w:hint="eastAsia" w:ascii="微软雅黑" w:hAnsi="微软雅黑" w:eastAsia="微软雅黑"/>
                <w:szCs w:val="21"/>
                <w:lang w:eastAsia="zh-CN"/>
              </w:rPr>
              <w:t>投资者</w:t>
            </w:r>
            <w:r>
              <w:rPr>
                <w:rFonts w:hint="eastAsia" w:ascii="微软雅黑" w:hAnsi="微软雅黑" w:eastAsia="微软雅黑"/>
                <w:szCs w:val="21"/>
              </w:rPr>
              <w:t>和经珠海华润银行（含珠海华润银行认可的其他销售服务机构）评估，评定为</w:t>
            </w:r>
            <w:r>
              <w:rPr>
                <w:rFonts w:hint="eastAsia" w:ascii="微软雅黑" w:hAnsi="微软雅黑" w:eastAsia="微软雅黑"/>
                <w:szCs w:val="21"/>
                <w:lang w:val="en-US" w:eastAsia="zh-CN"/>
              </w:rPr>
              <w:t>保守型、</w:t>
            </w:r>
            <w:r>
              <w:rPr>
                <w:rFonts w:hint="eastAsia" w:ascii="微软雅黑" w:hAnsi="微软雅黑" w:eastAsia="微软雅黑"/>
                <w:szCs w:val="21"/>
              </w:rPr>
              <w:t>稳健型、平衡型、成长型、进取型的个人</w:t>
            </w:r>
            <w:r>
              <w:rPr>
                <w:rFonts w:hint="eastAsia" w:ascii="微软雅黑" w:hAnsi="微软雅黑" w:eastAsia="微软雅黑"/>
                <w:szCs w:val="21"/>
                <w:lang w:eastAsia="zh-CN"/>
              </w:rPr>
              <w:t>投资者</w:t>
            </w:r>
            <w:r>
              <w:rPr>
                <w:rFonts w:hint="eastAsia"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noWrap w:val="0"/>
            <w:vAlign w:val="top"/>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noWrap w:val="0"/>
            <w:vAlign w:val="top"/>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noWrap w:val="0"/>
            <w:vAlign w:val="top"/>
          </w:tcPr>
          <w:p>
            <w:pPr>
              <w:spacing w:line="320" w:lineRule="exact"/>
              <w:rPr>
                <w:rFonts w:ascii="微软雅黑" w:hAnsi="微软雅黑" w:eastAsia="微软雅黑"/>
                <w:szCs w:val="21"/>
              </w:rPr>
            </w:pPr>
            <w:r>
              <w:rPr>
                <w:rFonts w:hint="eastAsia" w:ascii="微软雅黑" w:hAnsi="微软雅黑" w:eastAsia="微软雅黑"/>
                <w:szCs w:val="21"/>
                <w:lang w:eastAsia="zh-CN"/>
              </w:rPr>
              <w:t>江苏</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rPr>
            </w:pPr>
            <w:r>
              <w:rPr>
                <w:rFonts w:hint="eastAsia" w:ascii="微软雅黑" w:hAnsi="微软雅黑" w:eastAsia="微软雅黑"/>
                <w:szCs w:val="21"/>
              </w:rPr>
              <w:t>计划募集规模</w:t>
            </w:r>
          </w:p>
        </w:tc>
        <w:tc>
          <w:tcPr>
            <w:tcW w:w="7200" w:type="dxa"/>
            <w:noWrap w:val="0"/>
            <w:vAlign w:val="top"/>
          </w:tcPr>
          <w:p>
            <w:pPr>
              <w:spacing w:line="320" w:lineRule="exact"/>
              <w:rPr>
                <w:rFonts w:ascii="微软雅黑" w:hAnsi="微软雅黑" w:eastAsia="微软雅黑"/>
                <w:szCs w:val="21"/>
              </w:rPr>
            </w:pPr>
            <w:r>
              <w:rPr>
                <w:rFonts w:hint="eastAsia" w:ascii="微软雅黑" w:hAnsi="微软雅黑" w:eastAsia="微软雅黑"/>
                <w:szCs w:val="21"/>
              </w:rPr>
              <w:t>募集规模不超过</w:t>
            </w:r>
            <w:r>
              <w:rPr>
                <w:rFonts w:hint="eastAsia" w:ascii="微软雅黑" w:hAnsi="微软雅黑" w:eastAsia="微软雅黑"/>
                <w:szCs w:val="21"/>
                <w:lang w:val="en-US" w:eastAsia="zh-CN"/>
              </w:rPr>
              <w:t>100</w:t>
            </w:r>
            <w:r>
              <w:rPr>
                <w:rFonts w:hint="eastAsia" w:ascii="微软雅黑" w:hAnsi="微软雅黑" w:eastAsia="微软雅黑"/>
                <w:szCs w:val="21"/>
              </w:rPr>
              <w:t>亿</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珠海华润银行有权根据实际需要对计划募集规模进行调整，产品最终募集规模以银行实际募集的金额为准。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rPr>
            </w:pPr>
            <w:r>
              <w:rPr>
                <w:rFonts w:hint="eastAsia" w:ascii="微软雅黑" w:hAnsi="微软雅黑" w:eastAsia="微软雅黑"/>
                <w:szCs w:val="21"/>
              </w:rPr>
              <w:t>认购募集期</w:t>
            </w:r>
          </w:p>
        </w:tc>
        <w:tc>
          <w:tcPr>
            <w:tcW w:w="7200" w:type="dxa"/>
            <w:noWrap w:val="0"/>
            <w:vAlign w:val="top"/>
          </w:tcPr>
          <w:p>
            <w:pPr>
              <w:spacing w:line="320" w:lineRule="exact"/>
              <w:rPr>
                <w:rFonts w:ascii="微软雅黑" w:hAnsi="微软雅黑" w:eastAsia="微软雅黑"/>
                <w:szCs w:val="21"/>
                <w:u w:val="single"/>
              </w:rPr>
            </w:pPr>
            <w:r>
              <w:rPr>
                <w:rFonts w:hint="eastAsia" w:ascii="微软雅黑" w:hAnsi="微软雅黑" w:eastAsia="微软雅黑"/>
                <w:szCs w:val="21"/>
              </w:rPr>
              <w:t>2021年5月6日9:00至 2021年5月11日17:00，珠海华润银行有权提前结束认购或延长认购期，并调整相关日期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noWrap w:val="0"/>
            <w:vAlign w:val="top"/>
          </w:tcPr>
          <w:p>
            <w:pPr>
              <w:spacing w:line="320" w:lineRule="exact"/>
              <w:rPr>
                <w:rFonts w:ascii="微软雅黑" w:hAnsi="微软雅黑" w:eastAsia="微软雅黑"/>
                <w:szCs w:val="21"/>
              </w:rPr>
            </w:pPr>
            <w:r>
              <w:rPr>
                <w:rFonts w:hint="eastAsia" w:ascii="微软雅黑" w:hAnsi="微软雅黑" w:eastAsia="微软雅黑"/>
                <w:szCs w:val="21"/>
                <w:lang w:val="en-US" w:eastAsia="zh-CN"/>
              </w:rPr>
              <w:t>2021</w:t>
            </w:r>
            <w:r>
              <w:rPr>
                <w:rFonts w:hint="eastAsia" w:ascii="微软雅黑" w:hAnsi="微软雅黑" w:eastAsia="微软雅黑"/>
                <w:szCs w:val="21"/>
              </w:rPr>
              <w:t>年</w:t>
            </w:r>
            <w:r>
              <w:rPr>
                <w:rFonts w:hint="eastAsia" w:ascii="微软雅黑" w:hAnsi="微软雅黑" w:eastAsia="微软雅黑"/>
                <w:szCs w:val="21"/>
                <w:lang w:val="en-US" w:eastAsia="zh-CN"/>
              </w:rPr>
              <w:t>5</w:t>
            </w:r>
            <w:r>
              <w:rPr>
                <w:rFonts w:hint="eastAsia" w:ascii="微软雅黑" w:hAnsi="微软雅黑" w:eastAsia="微软雅黑"/>
                <w:szCs w:val="21"/>
              </w:rPr>
              <w:t>月</w:t>
            </w:r>
            <w:r>
              <w:rPr>
                <w:rFonts w:hint="eastAsia" w:ascii="微软雅黑" w:hAnsi="微软雅黑" w:eastAsia="微软雅黑"/>
                <w:szCs w:val="21"/>
                <w:lang w:val="en-US" w:eastAsia="zh-CN"/>
              </w:rPr>
              <w:t>12</w:t>
            </w:r>
            <w:r>
              <w:rPr>
                <w:rFonts w:hint="eastAsia" w:ascii="微软雅黑" w:hAnsi="微软雅黑" w:eastAsia="微软雅黑"/>
                <w:szCs w:val="21"/>
              </w:rPr>
              <w:t>日，珠海华润银行有权根据募集情况提前成立。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noWrap w:val="0"/>
            <w:vAlign w:val="top"/>
          </w:tcPr>
          <w:p>
            <w:pPr>
              <w:spacing w:line="320" w:lineRule="exact"/>
              <w:rPr>
                <w:rFonts w:ascii="微软雅黑" w:hAnsi="微软雅黑" w:eastAsia="微软雅黑"/>
                <w:szCs w:val="21"/>
              </w:rPr>
            </w:pPr>
            <w:r>
              <w:rPr>
                <w:rFonts w:hint="eastAsia" w:ascii="微软雅黑" w:hAnsi="微软雅黑" w:eastAsia="微软雅黑"/>
                <w:szCs w:val="21"/>
              </w:rPr>
              <w:t>本产品为开放式理财产品，不设固定到期日，但珠海华润银行有权根据情况终止本产品。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hint="eastAsia" w:ascii="微软雅黑" w:hAnsi="微软雅黑" w:eastAsia="微软雅黑"/>
                <w:szCs w:val="21"/>
              </w:rPr>
            </w:pPr>
            <w:r>
              <w:rPr>
                <w:rFonts w:hint="eastAsia" w:ascii="微软雅黑" w:hAnsi="微软雅黑" w:eastAsia="微软雅黑"/>
                <w:szCs w:val="21"/>
              </w:rPr>
              <w:t xml:space="preserve">提前终止权 </w:t>
            </w:r>
          </w:p>
        </w:tc>
        <w:tc>
          <w:tcPr>
            <w:tcW w:w="7200" w:type="dxa"/>
            <w:noWrap w:val="0"/>
            <w:vAlign w:val="top"/>
          </w:tcPr>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珠海华润银行有权但无义务提前终止该计划。详细内容见</w:t>
            </w:r>
            <w:r>
              <w:rPr>
                <w:rFonts w:hint="eastAsia" w:ascii="微软雅黑" w:hAnsi="微软雅黑" w:eastAsia="微软雅黑" w:cs="Arial"/>
                <w:szCs w:val="21"/>
                <w:highlight w:val="none"/>
                <w:lang w:val="en-US" w:eastAsia="zh-CN"/>
              </w:rPr>
              <w:t>本产品说明书中</w:t>
            </w:r>
            <w:r>
              <w:rPr>
                <w:rFonts w:hint="eastAsia" w:ascii="微软雅黑" w:hAnsi="微软雅黑" w:eastAsia="微软雅黑"/>
                <w:szCs w:val="21"/>
              </w:rPr>
              <w:t>“六、理财产品终止”</w:t>
            </w:r>
            <w:r>
              <w:rPr>
                <w:rFonts w:hint="eastAsia" w:ascii="微软雅黑" w:hAnsi="微软雅黑" w:eastAsia="微软雅黑"/>
                <w:szCs w:val="21"/>
                <w:lang w:val="en-US" w:eastAsia="zh-CN"/>
              </w:rPr>
              <w:t>条款的约定</w:t>
            </w:r>
            <w:r>
              <w:rPr>
                <w:rFonts w:hint="eastAsia" w:ascii="微软雅黑" w:hAnsi="微软雅黑" w:eastAsia="微软雅黑"/>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rPr>
            </w:pPr>
            <w:r>
              <w:rPr>
                <w:rFonts w:hint="eastAsia" w:ascii="微软雅黑" w:hAnsi="微软雅黑" w:eastAsia="微软雅黑"/>
                <w:szCs w:val="21"/>
              </w:rPr>
              <w:t>认购</w:t>
            </w:r>
            <w:r>
              <w:rPr>
                <w:rFonts w:hint="eastAsia" w:ascii="微软雅黑" w:hAnsi="微软雅黑" w:eastAsia="微软雅黑"/>
                <w:szCs w:val="21"/>
                <w:lang w:val="en-US" w:eastAsia="zh-CN"/>
              </w:rPr>
              <w:t>/申购</w:t>
            </w:r>
            <w:r>
              <w:rPr>
                <w:rFonts w:hint="eastAsia" w:ascii="微软雅黑" w:hAnsi="微软雅黑" w:eastAsia="微软雅黑"/>
                <w:szCs w:val="21"/>
              </w:rPr>
              <w:t>起点金额</w:t>
            </w:r>
          </w:p>
        </w:tc>
        <w:tc>
          <w:tcPr>
            <w:tcW w:w="7200" w:type="dxa"/>
            <w:noWrap w:val="0"/>
            <w:vAlign w:val="top"/>
          </w:tcPr>
          <w:p>
            <w:pPr>
              <w:spacing w:line="320" w:lineRule="exact"/>
              <w:rPr>
                <w:rFonts w:ascii="微软雅黑" w:hAnsi="微软雅黑" w:eastAsia="微软雅黑"/>
                <w:szCs w:val="21"/>
                <w:u w:val="single"/>
              </w:rPr>
            </w:pPr>
            <w:r>
              <w:rPr>
                <w:rFonts w:hint="eastAsia" w:ascii="微软雅黑" w:hAnsi="微软雅黑" w:eastAsia="微软雅黑"/>
                <w:szCs w:val="21"/>
              </w:rPr>
              <w:t>1万元，以1000元</w:t>
            </w:r>
            <w:r>
              <w:rPr>
                <w:rFonts w:hint="eastAsia" w:ascii="微软雅黑" w:hAnsi="微软雅黑" w:eastAsia="微软雅黑"/>
                <w:szCs w:val="21"/>
                <w:lang w:eastAsia="zh-CN"/>
              </w:rPr>
              <w:t>的整数倍</w:t>
            </w:r>
            <w:r>
              <w:rPr>
                <w:rFonts w:hint="eastAsia" w:ascii="微软雅黑" w:hAnsi="微软雅黑" w:eastAsia="微软雅黑"/>
                <w:szCs w:val="21"/>
              </w:rPr>
              <w:t>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noWrap w:val="0"/>
            <w:vAlign w:val="top"/>
          </w:tcPr>
          <w:p>
            <w:pPr>
              <w:spacing w:line="320" w:lineRule="exact"/>
              <w:rPr>
                <w:rFonts w:hint="eastAsia" w:ascii="微软雅黑" w:hAnsi="微软雅黑" w:eastAsia="微软雅黑"/>
                <w:szCs w:val="21"/>
                <w:lang w:val="en-US" w:eastAsia="zh-CN"/>
              </w:rPr>
            </w:pPr>
            <w:r>
              <w:rPr>
                <w:rFonts w:hint="eastAsia" w:ascii="微软雅黑" w:hAnsi="微软雅黑" w:eastAsia="微软雅黑"/>
                <w:szCs w:val="21"/>
              </w:rPr>
              <w:t>珠海华润银行有权根据产品投资情况对单笔认购上限进行约定及调整</w:t>
            </w:r>
            <w:r>
              <w:rPr>
                <w:rFonts w:hint="eastAsia" w:ascii="微软雅黑" w:hAnsi="微软雅黑" w:eastAsia="微软雅黑"/>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rPr>
            </w:pPr>
            <w:r>
              <w:rPr>
                <w:rFonts w:hint="eastAsia" w:ascii="微软雅黑" w:hAnsi="微软雅黑" w:eastAsia="微软雅黑"/>
                <w:szCs w:val="21"/>
              </w:rPr>
              <w:t>投资封闭期（如有）</w:t>
            </w:r>
          </w:p>
        </w:tc>
        <w:tc>
          <w:tcPr>
            <w:tcW w:w="7200" w:type="dxa"/>
            <w:noWrap w:val="0"/>
            <w:vAlign w:val="top"/>
          </w:tcPr>
          <w:p>
            <w:pPr>
              <w:spacing w:line="320" w:lineRule="exact"/>
              <w:rPr>
                <w:rFonts w:ascii="微软雅黑" w:hAnsi="微软雅黑" w:eastAsia="微软雅黑"/>
                <w:szCs w:val="21"/>
              </w:rPr>
            </w:pPr>
            <w:r>
              <w:rPr>
                <w:rFonts w:hint="eastAsia" w:ascii="微软雅黑" w:hAnsi="微软雅黑" w:eastAsia="微软雅黑"/>
                <w:szCs w:val="21"/>
                <w:u w:val="single"/>
              </w:rPr>
              <w:t xml:space="preserve">2021 </w:t>
            </w:r>
            <w:r>
              <w:rPr>
                <w:rFonts w:hint="eastAsia" w:ascii="微软雅黑" w:hAnsi="微软雅黑" w:eastAsia="微软雅黑"/>
                <w:szCs w:val="21"/>
              </w:rPr>
              <w:t>年</w:t>
            </w:r>
            <w:r>
              <w:rPr>
                <w:rFonts w:ascii="微软雅黑" w:hAnsi="微软雅黑" w:eastAsia="微软雅黑"/>
                <w:szCs w:val="21"/>
                <w:u w:val="single"/>
              </w:rPr>
              <w:t xml:space="preserve"> </w:t>
            </w:r>
            <w:r>
              <w:rPr>
                <w:rFonts w:hint="eastAsia" w:ascii="微软雅黑" w:hAnsi="微软雅黑" w:eastAsia="微软雅黑"/>
                <w:szCs w:val="21"/>
                <w:u w:val="single"/>
              </w:rPr>
              <w:t>5</w:t>
            </w:r>
            <w:r>
              <w:rPr>
                <w:rFonts w:ascii="微软雅黑" w:hAnsi="微软雅黑" w:eastAsia="微软雅黑"/>
                <w:szCs w:val="21"/>
                <w:u w:val="single"/>
              </w:rPr>
              <w:t xml:space="preserve"> </w:t>
            </w:r>
            <w:r>
              <w:rPr>
                <w:rFonts w:hint="eastAsia" w:ascii="微软雅黑" w:hAnsi="微软雅黑" w:eastAsia="微软雅黑"/>
                <w:szCs w:val="21"/>
              </w:rPr>
              <w:t>月</w:t>
            </w:r>
            <w:r>
              <w:rPr>
                <w:rFonts w:hint="eastAsia" w:ascii="微软雅黑" w:hAnsi="微软雅黑" w:eastAsia="微软雅黑"/>
                <w:szCs w:val="21"/>
                <w:u w:val="single"/>
              </w:rPr>
              <w:t>12</w:t>
            </w:r>
            <w:r>
              <w:rPr>
                <w:rFonts w:hint="eastAsia" w:ascii="微软雅黑" w:hAnsi="微软雅黑" w:eastAsia="微软雅黑"/>
                <w:szCs w:val="21"/>
              </w:rPr>
              <w:t>日至</w:t>
            </w:r>
            <w:r>
              <w:rPr>
                <w:rFonts w:hint="eastAsia" w:ascii="微软雅黑" w:hAnsi="微软雅黑" w:eastAsia="微软雅黑"/>
                <w:szCs w:val="21"/>
                <w:u w:val="single"/>
              </w:rPr>
              <w:t>2021</w:t>
            </w:r>
            <w:r>
              <w:rPr>
                <w:rFonts w:hint="eastAsia" w:ascii="微软雅黑" w:hAnsi="微软雅黑" w:eastAsia="微软雅黑"/>
                <w:szCs w:val="21"/>
              </w:rPr>
              <w:t>年</w:t>
            </w:r>
            <w:r>
              <w:rPr>
                <w:rFonts w:hint="eastAsia" w:ascii="微软雅黑" w:hAnsi="微软雅黑" w:eastAsia="微软雅黑"/>
                <w:szCs w:val="21"/>
                <w:u w:val="single"/>
              </w:rPr>
              <w:t>5</w:t>
            </w:r>
            <w:r>
              <w:rPr>
                <w:rFonts w:hint="eastAsia" w:ascii="微软雅黑" w:hAnsi="微软雅黑" w:eastAsia="微软雅黑"/>
                <w:szCs w:val="21"/>
              </w:rPr>
              <w:t>月</w:t>
            </w:r>
            <w:r>
              <w:rPr>
                <w:rFonts w:hint="eastAsia" w:ascii="微软雅黑" w:hAnsi="微软雅黑" w:eastAsia="微软雅黑"/>
                <w:szCs w:val="21"/>
                <w:u w:val="single"/>
              </w:rPr>
              <w:t>28</w:t>
            </w:r>
            <w:r>
              <w:rPr>
                <w:rFonts w:hint="eastAsia" w:ascii="微软雅黑" w:hAnsi="微软雅黑" w:eastAsia="微软雅黑"/>
                <w:szCs w:val="21"/>
              </w:rPr>
              <w:t>日；</w:t>
            </w:r>
          </w:p>
          <w:p>
            <w:pPr>
              <w:spacing w:line="320" w:lineRule="exact"/>
              <w:rPr>
                <w:rFonts w:ascii="微软雅黑" w:hAnsi="微软雅黑" w:eastAsia="微软雅黑"/>
                <w:szCs w:val="21"/>
              </w:rPr>
            </w:pPr>
            <w:r>
              <w:rPr>
                <w:rFonts w:hint="eastAsia" w:ascii="微软雅黑" w:hAnsi="微软雅黑" w:eastAsia="微软雅黑"/>
                <w:szCs w:val="21"/>
              </w:rPr>
              <w:t>投资封闭期内本产品不接受申购及赎回申请，</w:t>
            </w:r>
            <w:r>
              <w:rPr>
                <w:rFonts w:hint="eastAsia" w:ascii="微软雅黑" w:hAnsi="微软雅黑" w:eastAsia="微软雅黑"/>
                <w:szCs w:val="21"/>
                <w:lang w:eastAsia="zh-CN"/>
              </w:rPr>
              <w:t>投资者</w:t>
            </w:r>
            <w:r>
              <w:rPr>
                <w:rFonts w:hint="eastAsia" w:ascii="微软雅黑" w:hAnsi="微软雅黑" w:eastAsia="微软雅黑"/>
                <w:szCs w:val="21"/>
              </w:rPr>
              <w:t>可在投资封闭期后提交申购及赎回申请。珠海华润银行有权根据投资运作情况提前或延长投资封闭期。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rPr>
            </w:pPr>
            <w:r>
              <w:rPr>
                <w:rFonts w:hint="eastAsia" w:ascii="微软雅黑" w:hAnsi="微软雅黑" w:eastAsia="微软雅黑"/>
                <w:szCs w:val="21"/>
              </w:rPr>
              <w:t>开放日及开放时间</w:t>
            </w:r>
          </w:p>
        </w:tc>
        <w:tc>
          <w:tcPr>
            <w:tcW w:w="7200" w:type="dxa"/>
            <w:noWrap w:val="0"/>
            <w:vAlign w:val="top"/>
          </w:tcPr>
          <w:p>
            <w:pPr>
              <w:spacing w:line="320" w:lineRule="exact"/>
              <w:rPr>
                <w:rFonts w:ascii="微软雅黑" w:hAnsi="微软雅黑" w:eastAsia="微软雅黑"/>
                <w:szCs w:val="21"/>
              </w:rPr>
            </w:pPr>
            <w:r>
              <w:rPr>
                <w:rFonts w:hint="eastAsia" w:ascii="微软雅黑" w:hAnsi="微软雅黑" w:eastAsia="微软雅黑"/>
                <w:szCs w:val="21"/>
              </w:rPr>
              <w:t>本产品成立后，每个工作日（投资封闭期除外）为产品开放日，开放时间为每个开放日的9:00至15:00。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noWrap w:val="0"/>
            <w:vAlign w:val="top"/>
          </w:tcPr>
          <w:p>
            <w:pPr>
              <w:spacing w:line="320" w:lineRule="exact"/>
              <w:rPr>
                <w:rFonts w:ascii="微软雅黑" w:hAnsi="微软雅黑" w:eastAsia="微软雅黑"/>
                <w:szCs w:val="21"/>
              </w:rPr>
            </w:pPr>
            <w:r>
              <w:rPr>
                <w:rFonts w:hint="eastAsia" w:ascii="微软雅黑" w:hAnsi="微软雅黑" w:eastAsia="微软雅黑"/>
                <w:szCs w:val="21"/>
              </w:rPr>
              <w:t>1、产品管理人作为本产品的管理人设立业绩比较基准。管理人根据中国人民银行最新公布的7天通知存款利率，结合市场利率变动及资金运作情况设立业绩比较基准，不定期进行调整，并及时通过官网或其他合适的渠道进行公布。</w:t>
            </w:r>
          </w:p>
          <w:p>
            <w:pPr>
              <w:spacing w:line="320" w:lineRule="exact"/>
              <w:rPr>
                <w:rFonts w:ascii="微软雅黑" w:hAnsi="微软雅黑" w:eastAsia="微软雅黑"/>
                <w:szCs w:val="21"/>
              </w:rPr>
            </w:pPr>
            <w:r>
              <w:rPr>
                <w:rFonts w:hint="eastAsia" w:ascii="微软雅黑" w:hAnsi="微软雅黑" w:eastAsia="微软雅黑"/>
                <w:szCs w:val="21"/>
              </w:rPr>
              <w:t>2、本产品为净值型产品，其业绩表现将随市场波动，具有不确定性。本产品业绩比较基准仅作为银行提取浮动管理费的依据，不构成银行对本理财产品的任何收益承诺。</w:t>
            </w:r>
            <w:r>
              <w:rPr>
                <w:rFonts w:hint="eastAsia" w:ascii="微软雅黑" w:hAnsi="微软雅黑" w:eastAsia="微软雅黑"/>
                <w:b/>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hint="eastAsia" w:ascii="微软雅黑" w:hAnsi="微软雅黑" w:eastAsia="微软雅黑"/>
                <w:szCs w:val="21"/>
              </w:rPr>
            </w:pPr>
            <w:r>
              <w:rPr>
                <w:rFonts w:hint="eastAsia" w:ascii="微软雅黑" w:hAnsi="微软雅黑" w:eastAsia="微软雅黑"/>
                <w:szCs w:val="21"/>
              </w:rPr>
              <w:t>申购</w:t>
            </w:r>
            <w:r>
              <w:rPr>
                <w:rFonts w:hint="eastAsia" w:ascii="微软雅黑" w:hAnsi="微软雅黑" w:eastAsia="微软雅黑"/>
                <w:szCs w:val="21"/>
                <w:lang w:val="en-US" w:eastAsia="zh-CN"/>
              </w:rPr>
              <w:t>/</w:t>
            </w:r>
            <w:r>
              <w:rPr>
                <w:rFonts w:hint="eastAsia" w:ascii="微软雅黑" w:hAnsi="微软雅黑" w:eastAsia="微软雅黑"/>
                <w:szCs w:val="21"/>
              </w:rPr>
              <w:t>赎回</w:t>
            </w:r>
            <w:r>
              <w:rPr>
                <w:rFonts w:hint="eastAsia" w:ascii="微软雅黑" w:hAnsi="微软雅黑" w:eastAsia="微软雅黑"/>
                <w:szCs w:val="21"/>
                <w:lang w:eastAsia="zh-CN"/>
              </w:rPr>
              <w:t>确认日</w:t>
            </w:r>
            <w:r>
              <w:rPr>
                <w:rFonts w:hint="eastAsia" w:ascii="微软雅黑" w:hAnsi="微软雅黑" w:eastAsia="微软雅黑"/>
                <w:szCs w:val="21"/>
              </w:rPr>
              <w:t xml:space="preserve">  </w:t>
            </w:r>
          </w:p>
        </w:tc>
        <w:tc>
          <w:tcPr>
            <w:tcW w:w="7200" w:type="dxa"/>
            <w:noWrap w:val="0"/>
            <w:vAlign w:val="top"/>
          </w:tcPr>
          <w:p>
            <w:pPr>
              <w:spacing w:line="300" w:lineRule="exact"/>
              <w:rPr>
                <w:rFonts w:hint="eastAsia" w:ascii="微软雅黑" w:hAnsi="微软雅黑" w:eastAsia="微软雅黑"/>
                <w:szCs w:val="21"/>
                <w:highlight w:val="yellow"/>
                <w:lang w:val="en-US" w:eastAsia="zh-CN"/>
              </w:rPr>
            </w:pPr>
            <w:r>
              <w:rPr>
                <w:rFonts w:hint="eastAsia" w:ascii="微软雅黑" w:hAnsi="微软雅黑" w:eastAsia="微软雅黑"/>
                <w:szCs w:val="21"/>
                <w:lang w:val="en-US" w:eastAsia="zh-CN"/>
              </w:rPr>
              <w:t>1、投资者可在产品</w:t>
            </w:r>
            <w:r>
              <w:rPr>
                <w:rFonts w:hint="eastAsia" w:ascii="微软雅黑" w:hAnsi="微软雅黑" w:eastAsia="微软雅黑"/>
                <w:szCs w:val="21"/>
                <w:lang w:eastAsia="zh-CN"/>
              </w:rPr>
              <w:t>开放时间内</w:t>
            </w:r>
            <w:r>
              <w:rPr>
                <w:rFonts w:hint="eastAsia" w:ascii="微软雅黑" w:hAnsi="微软雅黑" w:eastAsia="微软雅黑"/>
                <w:szCs w:val="21"/>
                <w:lang w:val="en-US" w:eastAsia="zh-CN"/>
              </w:rPr>
              <w:t>申请</w:t>
            </w:r>
            <w:r>
              <w:rPr>
                <w:rFonts w:hint="eastAsia" w:ascii="微软雅黑" w:hAnsi="微软雅黑" w:eastAsia="微软雅黑"/>
                <w:szCs w:val="21"/>
                <w:lang w:eastAsia="zh-CN"/>
              </w:rPr>
              <w:t>申购</w:t>
            </w:r>
            <w:r>
              <w:rPr>
                <w:rFonts w:hint="eastAsia" w:ascii="微软雅黑" w:hAnsi="微软雅黑" w:eastAsia="微软雅黑"/>
                <w:szCs w:val="21"/>
                <w:lang w:val="en-US" w:eastAsia="zh-CN"/>
              </w:rPr>
              <w:t>/赎回，</w:t>
            </w:r>
            <w:r>
              <w:rPr>
                <w:rFonts w:hint="eastAsia" w:ascii="微软雅黑" w:hAnsi="微软雅黑" w:eastAsia="微软雅黑"/>
                <w:szCs w:val="21"/>
              </w:rPr>
              <w:t>珠海华润银行</w:t>
            </w:r>
            <w:r>
              <w:rPr>
                <w:rFonts w:hint="eastAsia" w:ascii="微软雅黑" w:hAnsi="微软雅黑" w:eastAsia="微软雅黑"/>
                <w:szCs w:val="21"/>
                <w:lang w:val="en-US" w:eastAsia="zh-CN"/>
              </w:rPr>
              <w:t>将在申购/赎回申请日（T日）后的第一个开放日（T+1日)进行申购/赎回确认；投资者</w:t>
            </w:r>
            <w:r>
              <w:rPr>
                <w:rFonts w:hint="eastAsia" w:ascii="微软雅黑" w:hAnsi="微软雅黑" w:eastAsia="微软雅黑"/>
                <w:szCs w:val="21"/>
                <w:highlight w:val="none"/>
                <w:lang w:val="en-US" w:eastAsia="zh-CN"/>
              </w:rPr>
              <w:t>快速赎回申请需在开放时间内提出（T日），</w:t>
            </w:r>
            <w:r>
              <w:rPr>
                <w:rFonts w:hint="eastAsia" w:ascii="微软雅黑" w:hAnsi="微软雅黑" w:eastAsia="微软雅黑"/>
                <w:szCs w:val="21"/>
              </w:rPr>
              <w:t>珠海华润银行</w:t>
            </w:r>
            <w:r>
              <w:rPr>
                <w:rFonts w:hint="eastAsia" w:ascii="微软雅黑" w:hAnsi="微软雅黑" w:eastAsia="微软雅黑"/>
                <w:szCs w:val="21"/>
                <w:lang w:val="en-US" w:eastAsia="zh-CN"/>
              </w:rPr>
              <w:t>将实时</w:t>
            </w:r>
            <w:r>
              <w:rPr>
                <w:rFonts w:hint="eastAsia" w:ascii="微软雅黑" w:hAnsi="微软雅黑" w:eastAsia="微软雅黑"/>
                <w:szCs w:val="21"/>
                <w:highlight w:val="none"/>
                <w:lang w:val="en-US" w:eastAsia="zh-CN"/>
              </w:rPr>
              <w:t>进行确认。</w:t>
            </w:r>
          </w:p>
          <w:p>
            <w:pPr>
              <w:spacing w:line="300" w:lineRule="exact"/>
              <w:rPr>
                <w:rFonts w:hint="eastAsia" w:ascii="微软雅黑" w:hAnsi="微软雅黑" w:eastAsia="微软雅黑"/>
                <w:szCs w:val="21"/>
              </w:rPr>
            </w:pPr>
            <w:r>
              <w:rPr>
                <w:rFonts w:hint="eastAsia" w:ascii="微软雅黑" w:hAnsi="微软雅黑" w:eastAsia="微软雅黑"/>
                <w:szCs w:val="21"/>
                <w:highlight w:val="none"/>
                <w:lang w:val="en-US" w:eastAsia="zh-CN"/>
              </w:rPr>
              <w:t>2、投资者在</w:t>
            </w:r>
            <w:r>
              <w:rPr>
                <w:rFonts w:hint="eastAsia" w:ascii="微软雅黑" w:hAnsi="微软雅黑" w:eastAsia="微软雅黑"/>
                <w:szCs w:val="21"/>
                <w:lang w:val="en-US" w:eastAsia="zh-CN"/>
              </w:rPr>
              <w:t>非开放时间内申请申购/赎回，</w:t>
            </w:r>
            <w:r>
              <w:rPr>
                <w:rFonts w:hint="eastAsia" w:ascii="微软雅黑" w:hAnsi="微软雅黑" w:eastAsia="微软雅黑"/>
                <w:szCs w:val="21"/>
              </w:rPr>
              <w:t>珠海华润银行</w:t>
            </w:r>
            <w:r>
              <w:rPr>
                <w:rFonts w:hint="eastAsia" w:ascii="微软雅黑" w:hAnsi="微软雅黑" w:eastAsia="微软雅黑"/>
                <w:szCs w:val="21"/>
                <w:lang w:val="en-US" w:eastAsia="zh-CN"/>
              </w:rPr>
              <w:t>做预受理处理，并视同投资者在下一开放时间内申请申购/赎回。具体可阅本《产品说明书》之“四、理财产品申购及赎回”规则。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rPr>
            </w:pPr>
            <w:r>
              <w:rPr>
                <w:rFonts w:hint="eastAsia" w:ascii="微软雅黑" w:hAnsi="微软雅黑" w:eastAsia="微软雅黑"/>
                <w:szCs w:val="21"/>
              </w:rPr>
              <w:t>产品费用</w:t>
            </w:r>
          </w:p>
        </w:tc>
        <w:tc>
          <w:tcPr>
            <w:tcW w:w="7200" w:type="dxa"/>
            <w:noWrap w:val="0"/>
            <w:vAlign w:val="top"/>
          </w:tcPr>
          <w:p>
            <w:pPr>
              <w:spacing w:line="320" w:lineRule="exact"/>
              <w:rPr>
                <w:rFonts w:hint="eastAsia" w:ascii="微软雅黑" w:hAnsi="微软雅黑" w:eastAsia="微软雅黑"/>
                <w:szCs w:val="21"/>
                <w:lang w:eastAsia="zh-CN"/>
              </w:rPr>
            </w:pPr>
            <w:bookmarkStart w:id="0" w:name="OLE_LINK2"/>
            <w:r>
              <w:rPr>
                <w:rFonts w:hint="eastAsia" w:ascii="微软雅黑" w:hAnsi="微软雅黑" w:eastAsia="微软雅黑"/>
                <w:szCs w:val="21"/>
                <w:lang w:eastAsia="zh-CN"/>
              </w:rPr>
              <w:t>一、固定费用</w:t>
            </w:r>
          </w:p>
          <w:p>
            <w:pPr>
              <w:spacing w:line="320" w:lineRule="exact"/>
              <w:rPr>
                <w:rFonts w:ascii="微软雅黑" w:hAnsi="微软雅黑" w:eastAsia="微软雅黑"/>
                <w:szCs w:val="21"/>
              </w:rPr>
            </w:pPr>
            <w:r>
              <w:rPr>
                <w:rFonts w:hint="eastAsia" w:ascii="微软雅黑" w:hAnsi="微软雅黑" w:eastAsia="微软雅黑"/>
                <w:szCs w:val="21"/>
              </w:rPr>
              <w:t>产品托管费：0.</w:t>
            </w:r>
            <w:r>
              <w:rPr>
                <w:rFonts w:hint="eastAsia" w:ascii="微软雅黑" w:hAnsi="微软雅黑" w:eastAsia="微软雅黑"/>
                <w:szCs w:val="21"/>
                <w:lang w:val="en-US" w:eastAsia="zh-CN"/>
              </w:rPr>
              <w:t>003</w:t>
            </w:r>
            <w:r>
              <w:rPr>
                <w:rFonts w:ascii="微软雅黑" w:hAnsi="微软雅黑" w:eastAsia="微软雅黑"/>
                <w:szCs w:val="21"/>
              </w:rPr>
              <w:t>%/年</w:t>
            </w:r>
            <w:r>
              <w:rPr>
                <w:rFonts w:hint="eastAsia" w:ascii="微软雅黑" w:hAnsi="微软雅黑" w:eastAsia="微软雅黑"/>
                <w:szCs w:val="21"/>
              </w:rPr>
              <w:t>；</w:t>
            </w:r>
          </w:p>
          <w:p>
            <w:pPr>
              <w:spacing w:line="320" w:lineRule="exact"/>
              <w:rPr>
                <w:rFonts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lang w:eastAsia="zh-CN"/>
              </w:rPr>
            </w:pPr>
            <w:bookmarkStart w:id="2" w:name="_GoBack"/>
            <w:bookmarkEnd w:id="2"/>
            <w:r>
              <w:rPr>
                <w:rFonts w:hint="eastAsia" w:ascii="微软雅黑" w:hAnsi="微软雅黑" w:eastAsia="微软雅黑"/>
                <w:szCs w:val="21"/>
              </w:rPr>
              <w:t>投资管理费：</w:t>
            </w:r>
            <w:r>
              <w:rPr>
                <w:rFonts w:hint="eastAsia" w:ascii="微软雅黑" w:hAnsi="微软雅黑" w:eastAsia="微软雅黑"/>
                <w:szCs w:val="21"/>
                <w:lang w:eastAsia="zh-CN"/>
              </w:rPr>
              <w:t>包括固定投资管理费和浮动投资管理费。</w:t>
            </w:r>
          </w:p>
          <w:p>
            <w:pPr>
              <w:numPr>
                <w:ilvl w:val="0"/>
                <w:numId w:val="2"/>
              </w:numPr>
              <w:spacing w:line="320" w:lineRule="exact"/>
              <w:rPr>
                <w:rFonts w:hint="eastAsia" w:ascii="微软雅黑" w:hAnsi="微软雅黑" w:eastAsia="微软雅黑"/>
                <w:szCs w:val="21"/>
              </w:rPr>
            </w:pPr>
            <w:r>
              <w:rPr>
                <w:rFonts w:hint="eastAsia" w:ascii="微软雅黑" w:hAnsi="微软雅黑" w:eastAsia="微软雅黑"/>
                <w:szCs w:val="21"/>
                <w:lang w:eastAsia="zh-CN"/>
              </w:rPr>
              <w:t>固定管理费：</w:t>
            </w:r>
            <w:r>
              <w:rPr>
                <w:rFonts w:hint="eastAsia" w:ascii="微软雅黑" w:hAnsi="微软雅黑" w:eastAsia="微软雅黑"/>
                <w:szCs w:val="21"/>
              </w:rPr>
              <w:t>0.</w:t>
            </w:r>
            <w:r>
              <w:rPr>
                <w:rFonts w:hint="eastAsia" w:ascii="微软雅黑" w:hAnsi="微软雅黑" w:eastAsia="微软雅黑"/>
                <w:szCs w:val="21"/>
                <w:lang w:val="en-US" w:eastAsia="zh-CN"/>
              </w:rPr>
              <w:t>10</w:t>
            </w:r>
            <w:r>
              <w:rPr>
                <w:rFonts w:hint="eastAsia" w:ascii="微软雅黑" w:hAnsi="微软雅黑" w:eastAsia="微软雅黑"/>
                <w:szCs w:val="21"/>
              </w:rPr>
              <w:t>%/年</w:t>
            </w:r>
            <w:r>
              <w:rPr>
                <w:rFonts w:hint="eastAsia" w:ascii="微软雅黑" w:hAnsi="微软雅黑" w:eastAsia="微软雅黑"/>
                <w:szCs w:val="21"/>
                <w:lang w:eastAsia="zh-CN"/>
              </w:rPr>
              <w:t>。</w:t>
            </w:r>
            <w:r>
              <w:rPr>
                <w:rFonts w:hint="eastAsia" w:ascii="微软雅黑" w:hAnsi="微软雅黑" w:eastAsia="微软雅黑"/>
                <w:szCs w:val="21"/>
              </w:rPr>
              <w:t>若本产品投资收益低于业绩比较基准（含），管理人不收取固定投资管理费。</w:t>
            </w:r>
          </w:p>
          <w:p>
            <w:pPr>
              <w:numPr>
                <w:ilvl w:val="0"/>
                <w:numId w:val="2"/>
              </w:numPr>
              <w:spacing w:line="320" w:lineRule="exact"/>
              <w:rPr>
                <w:rFonts w:hint="eastAsia" w:ascii="微软雅黑" w:hAnsi="微软雅黑" w:eastAsia="微软雅黑"/>
                <w:szCs w:val="21"/>
              </w:rPr>
            </w:pPr>
            <w:r>
              <w:rPr>
                <w:rFonts w:hint="eastAsia" w:ascii="微软雅黑" w:hAnsi="微软雅黑" w:eastAsia="微软雅黑"/>
                <w:szCs w:val="21"/>
                <w:lang w:eastAsia="zh-CN"/>
              </w:rPr>
              <w:t>浮动投资管理费</w:t>
            </w:r>
          </w:p>
          <w:p>
            <w:pPr>
              <w:numPr>
                <w:ilvl w:val="0"/>
                <w:numId w:val="0"/>
              </w:numPr>
              <w:spacing w:line="320" w:lineRule="exact"/>
              <w:rPr>
                <w:rFonts w:hint="eastAsia" w:ascii="微软雅黑" w:hAnsi="微软雅黑" w:eastAsia="微软雅黑"/>
                <w:szCs w:val="21"/>
              </w:rPr>
            </w:pPr>
            <w:r>
              <w:rPr>
                <w:rFonts w:hint="eastAsia" w:ascii="微软雅黑" w:hAnsi="微软雅黑" w:eastAsia="微软雅黑"/>
                <w:szCs w:val="21"/>
                <w:highlight w:val="none"/>
              </w:rPr>
              <w:t>扣除产品各项费用（包括不限于托管费、销售手续费、</w:t>
            </w:r>
            <w:r>
              <w:rPr>
                <w:rFonts w:hint="eastAsia" w:ascii="微软雅黑" w:hAnsi="微软雅黑" w:eastAsia="微软雅黑"/>
                <w:szCs w:val="21"/>
                <w:highlight w:val="none"/>
                <w:lang w:eastAsia="zh-CN"/>
              </w:rPr>
              <w:t>固定</w:t>
            </w:r>
            <w:r>
              <w:rPr>
                <w:rFonts w:hint="eastAsia" w:ascii="微软雅黑" w:hAnsi="微软雅黑" w:eastAsia="微软雅黑"/>
                <w:szCs w:val="21"/>
                <w:highlight w:val="none"/>
              </w:rPr>
              <w:t>投资管理费、运营服务费）后，若本产品投资收益低于业绩比较基准（含），管理人不收取浮动投资管理费；若投资收益超过业绩比较基准的部分，超过部分作为管理人的浮动投资管理费。</w:t>
            </w:r>
          </w:p>
          <w:p>
            <w:pPr>
              <w:spacing w:line="320" w:lineRule="exact"/>
              <w:rPr>
                <w:rFonts w:hint="eastAsia" w:ascii="微软雅黑" w:hAnsi="微软雅黑" w:eastAsia="微软雅黑"/>
                <w:szCs w:val="21"/>
              </w:rPr>
            </w:pPr>
            <w:r>
              <w:rPr>
                <w:rFonts w:hint="eastAsia" w:ascii="微软雅黑" w:hAnsi="微软雅黑" w:eastAsia="微软雅黑"/>
                <w:szCs w:val="21"/>
              </w:rPr>
              <w:t>运营服务费：0.</w:t>
            </w:r>
            <w:r>
              <w:rPr>
                <w:rFonts w:hint="eastAsia" w:ascii="微软雅黑" w:hAnsi="微软雅黑" w:eastAsia="微软雅黑"/>
                <w:szCs w:val="21"/>
                <w:lang w:val="en-US" w:eastAsia="zh-CN"/>
              </w:rPr>
              <w:t>005</w:t>
            </w:r>
            <w:r>
              <w:rPr>
                <w:rFonts w:hint="eastAsia" w:ascii="微软雅黑" w:hAnsi="微软雅黑" w:eastAsia="微软雅黑"/>
                <w:szCs w:val="21"/>
              </w:rPr>
              <w:t>%/年（如有）；</w:t>
            </w:r>
          </w:p>
          <w:p>
            <w:pPr>
              <w:numPr>
                <w:ilvl w:val="0"/>
                <w:numId w:val="3"/>
              </w:num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其他费用</w:t>
            </w:r>
          </w:p>
          <w:p>
            <w:pPr>
              <w:numPr>
                <w:ilvl w:val="0"/>
                <w:numId w:val="4"/>
              </w:numPr>
              <w:spacing w:line="320" w:lineRule="exact"/>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投资账户开立及维护费、交易手续费、资金汇划费、清算费等；</w:t>
            </w:r>
          </w:p>
          <w:p>
            <w:pPr>
              <w:numPr>
                <w:ilvl w:val="0"/>
                <w:numId w:val="4"/>
              </w:num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val="en-US" w:eastAsia="zh-CN"/>
              </w:rPr>
              <w:t>产品成立后与产品相关的会计师费、审计费、诉讼（仲裁）费、律师费、信息披露费、公证费、执行费用等；</w:t>
            </w:r>
          </w:p>
          <w:p>
            <w:pPr>
              <w:numPr>
                <w:ilvl w:val="0"/>
                <w:numId w:val="4"/>
              </w:num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val="en-US" w:eastAsia="zh-CN"/>
              </w:rPr>
              <w:t>增值税及附加税费等；</w:t>
            </w:r>
          </w:p>
          <w:p>
            <w:pPr>
              <w:numPr>
                <w:ilvl w:val="0"/>
                <w:numId w:val="4"/>
              </w:numPr>
              <w:spacing w:line="320" w:lineRule="exact"/>
              <w:rPr>
                <w:rFonts w:hint="eastAsia" w:ascii="微软雅黑" w:hAnsi="微软雅黑" w:eastAsia="微软雅黑"/>
                <w:szCs w:val="21"/>
                <w:lang w:eastAsia="zh-CN"/>
              </w:rPr>
            </w:pPr>
            <w:r>
              <w:rPr>
                <w:rFonts w:hint="eastAsia" w:ascii="微软雅黑" w:hAnsi="微软雅黑" w:eastAsia="微软雅黑"/>
                <w:szCs w:val="21"/>
                <w:highlight w:val="none"/>
                <w:lang w:val="en-US" w:eastAsia="zh-CN"/>
              </w:rPr>
              <w:t>其他按照国家有关规定可以列入的费用。上述税费在实际发生时按照实际发生额从理财产品财产支付</w:t>
            </w:r>
            <w:r>
              <w:rPr>
                <w:rFonts w:hint="eastAsia" w:ascii="微软雅黑" w:hAnsi="微软雅黑" w:eastAsia="微软雅黑"/>
                <w:szCs w:val="21"/>
                <w:highlight w:val="none"/>
              </w:rPr>
              <w:t>。</w:t>
            </w:r>
          </w:p>
          <w:bookmarkEnd w:id="0"/>
          <w:p>
            <w:pPr>
              <w:spacing w:line="320" w:lineRule="exact"/>
              <w:rPr>
                <w:rFonts w:ascii="微软雅黑" w:hAnsi="微软雅黑" w:eastAsia="微软雅黑"/>
                <w:szCs w:val="21"/>
              </w:rPr>
            </w:pPr>
            <w:r>
              <w:rPr>
                <w:rFonts w:hint="eastAsia" w:ascii="微软雅黑" w:hAnsi="微软雅黑" w:eastAsia="微软雅黑"/>
                <w:szCs w:val="21"/>
              </w:rPr>
              <w:t>本产品暂不收取认购费用、申购费用及赎回费用</w:t>
            </w:r>
            <w:r>
              <w:rPr>
                <w:rFonts w:hint="eastAsia" w:ascii="微软雅黑" w:hAnsi="微软雅黑" w:eastAsia="微软雅黑"/>
                <w:szCs w:val="21"/>
                <w:lang w:eastAsia="zh-CN"/>
              </w:rPr>
              <w:t>，</w:t>
            </w:r>
            <w:r>
              <w:rPr>
                <w:rFonts w:hint="eastAsia" w:ascii="微软雅黑" w:hAnsi="微软雅黑" w:eastAsia="微软雅黑"/>
                <w:szCs w:val="21"/>
                <w:lang w:val="en-US" w:eastAsia="zh-CN"/>
              </w:rPr>
              <w:t>但根据</w:t>
            </w:r>
            <w:r>
              <w:rPr>
                <w:rFonts w:hint="eastAsia" w:ascii="微软雅黑" w:hAnsi="微软雅黑" w:eastAsia="微软雅黑"/>
                <w:szCs w:val="21"/>
                <w:lang w:eastAsia="zh-CN"/>
              </w:rPr>
              <w:t>监管机构要求</w:t>
            </w:r>
            <w:r>
              <w:rPr>
                <w:rFonts w:hint="eastAsia" w:ascii="微软雅黑" w:hAnsi="微软雅黑" w:eastAsia="微软雅黑"/>
                <w:szCs w:val="21"/>
                <w:lang w:val="en-US" w:eastAsia="zh-CN"/>
              </w:rPr>
              <w:t>应当</w:t>
            </w:r>
            <w:r>
              <w:rPr>
                <w:rFonts w:hint="eastAsia" w:ascii="微软雅黑" w:hAnsi="微软雅黑" w:eastAsia="微软雅黑"/>
                <w:szCs w:val="21"/>
                <w:lang w:eastAsia="zh-CN"/>
              </w:rPr>
              <w:t>收取的强制赎回费除外。当持有现金、国债、中央银行票据、政策性金融债券以及5个交易日内到期的其他金融工具占产品资产净值的比例合计低于5%且偏离度为负时，珠海华润银行将对当日单个产品投资者申请赎回份额超过本产品总份额1%以上的赎回申请征收1%的强制赎回费用，并将上述赎回费用全额计入本产品财产。</w:t>
            </w:r>
          </w:p>
          <w:p>
            <w:pPr>
              <w:spacing w:line="320" w:lineRule="exact"/>
              <w:rPr>
                <w:rFonts w:ascii="微软雅黑" w:hAnsi="微软雅黑" w:eastAsia="微软雅黑"/>
                <w:szCs w:val="21"/>
              </w:rPr>
            </w:pPr>
            <w:r>
              <w:rPr>
                <w:rFonts w:hint="eastAsia" w:ascii="微软雅黑" w:hAnsi="微软雅黑" w:eastAsia="微软雅黑"/>
                <w:b/>
                <w:bCs/>
                <w:szCs w:val="21"/>
              </w:rPr>
              <w:t>珠海华润银行有权对本理财产品的收费项目、收费条件、收费方式、费率等进行调整。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收益分配</w:t>
            </w:r>
          </w:p>
        </w:tc>
        <w:tc>
          <w:tcPr>
            <w:tcW w:w="7200" w:type="dxa"/>
            <w:noWrap w:val="0"/>
            <w:vAlign w:val="top"/>
          </w:tcPr>
          <w:p>
            <w:pPr>
              <w:spacing w:line="300" w:lineRule="exact"/>
              <w:rPr>
                <w:rFonts w:hint="default" w:ascii="微软雅黑" w:hAnsi="微软雅黑" w:eastAsia="微软雅黑"/>
                <w:szCs w:val="21"/>
                <w:highlight w:val="yellow"/>
                <w:lang w:val="en-US" w:eastAsia="zh-CN"/>
              </w:rPr>
            </w:pPr>
            <w:r>
              <w:rPr>
                <w:rFonts w:hint="eastAsia" w:ascii="微软雅黑" w:hAnsi="微软雅黑" w:eastAsia="微软雅黑" w:cs="Times New Roman"/>
                <w:sz w:val="21"/>
                <w:szCs w:val="21"/>
                <w:highlight w:val="none"/>
              </w:rPr>
              <w:t>本</w:t>
            </w:r>
            <w:r>
              <w:rPr>
                <w:rFonts w:hint="eastAsia" w:ascii="微软雅黑" w:hAnsi="微软雅黑" w:eastAsia="微软雅黑" w:cs="Times New Roman"/>
                <w:sz w:val="21"/>
                <w:szCs w:val="21"/>
                <w:highlight w:val="none"/>
                <w:lang w:val="en-US" w:eastAsia="zh-CN"/>
              </w:rPr>
              <w:t>产品</w:t>
            </w:r>
            <w:r>
              <w:rPr>
                <w:rFonts w:hint="eastAsia" w:ascii="微软雅黑" w:hAnsi="微软雅黑" w:eastAsia="微软雅黑" w:cs="Times New Roman"/>
                <w:sz w:val="21"/>
                <w:szCs w:val="21"/>
                <w:highlight w:val="none"/>
              </w:rPr>
              <w:t>根据每日收益情况，以</w:t>
            </w:r>
            <w:r>
              <w:rPr>
                <w:rFonts w:hint="eastAsia" w:ascii="微软雅黑" w:hAnsi="微软雅黑" w:eastAsia="微软雅黑" w:cs="Times New Roman"/>
                <w:sz w:val="21"/>
                <w:szCs w:val="21"/>
                <w:highlight w:val="none"/>
                <w:lang w:val="en-US" w:eastAsia="zh-CN"/>
              </w:rPr>
              <w:t>产品</w:t>
            </w:r>
            <w:r>
              <w:rPr>
                <w:rFonts w:hint="eastAsia" w:ascii="微软雅黑" w:hAnsi="微软雅黑" w:eastAsia="微软雅黑" w:cs="Times New Roman"/>
                <w:sz w:val="21"/>
                <w:szCs w:val="21"/>
                <w:highlight w:val="none"/>
              </w:rPr>
              <w:t>实际收益为基准，每日为投资者计提当日理财收益，每日结转份额</w:t>
            </w:r>
            <w:r>
              <w:rPr>
                <w:rFonts w:hint="eastAsia" w:ascii="微软雅黑" w:hAnsi="微软雅黑" w:eastAsia="微软雅黑" w:cs="Times New Roman"/>
                <w:sz w:val="21"/>
                <w:szCs w:val="21"/>
                <w:highlight w:val="none"/>
                <w:lang w:eastAsia="zh-CN"/>
              </w:rPr>
              <w:t>，</w:t>
            </w:r>
            <w:r>
              <w:rPr>
                <w:rFonts w:hint="eastAsia" w:ascii="微软雅黑" w:hAnsi="微软雅黑" w:eastAsia="微软雅黑" w:cs="Times New Roman"/>
                <w:sz w:val="21"/>
                <w:szCs w:val="21"/>
                <w:highlight w:val="none"/>
                <w:lang w:val="en-US" w:eastAsia="zh-CN"/>
              </w:rPr>
              <w:t>并</w:t>
            </w:r>
            <w:r>
              <w:rPr>
                <w:rFonts w:hint="eastAsia" w:ascii="微软雅黑" w:hAnsi="微软雅黑" w:eastAsia="微软雅黑"/>
                <w:szCs w:val="21"/>
                <w:lang w:val="en-US" w:eastAsia="zh-CN"/>
              </w:rPr>
              <w:t>参与下一日产品的运作和收益分配，如遇节假日则顺延。</w:t>
            </w:r>
            <w:r>
              <w:rPr>
                <w:rFonts w:hint="eastAsia" w:ascii="微软雅黑" w:hAnsi="微软雅黑" w:eastAsia="微软雅黑" w:cs="Arial"/>
                <w:szCs w:val="21"/>
                <w:highlight w:val="none"/>
                <w:lang w:val="en-US" w:eastAsia="zh-CN"/>
              </w:rPr>
              <w:t>具体见本产品说明书中“</w:t>
            </w:r>
            <w:r>
              <w:rPr>
                <w:rFonts w:hint="eastAsia" w:ascii="微软雅黑" w:hAnsi="微软雅黑" w:eastAsia="微软雅黑" w:cs="Arial"/>
                <w:szCs w:val="21"/>
                <w:lang w:val="en-US" w:eastAsia="zh-CN"/>
              </w:rPr>
              <w:t>产品收益分配原则”条款的约定。</w:t>
            </w:r>
          </w:p>
          <w:p>
            <w:pPr>
              <w:spacing w:line="320" w:lineRule="exact"/>
              <w:rPr>
                <w:rFonts w:hint="eastAsia" w:ascii="微软雅黑" w:hAnsi="微软雅黑" w:eastAsia="微软雅黑"/>
                <w:szCs w:val="21"/>
              </w:rPr>
            </w:pPr>
            <w:r>
              <w:rPr>
                <w:rFonts w:hint="eastAsia" w:ascii="微软雅黑" w:hAnsi="微软雅黑" w:eastAsia="微软雅黑"/>
                <w:szCs w:val="21"/>
                <w:lang w:val="en-US" w:eastAsia="zh-CN"/>
              </w:rPr>
              <w:t>份额结转的计算位数保留至小数点后2位，小数点后第3位按去尾原则处理，因去尾形成的余额进行再次分配，直到分完为止。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rPr>
            </w:pPr>
            <w:r>
              <w:rPr>
                <w:rFonts w:hint="eastAsia" w:ascii="微软雅黑" w:hAnsi="微软雅黑" w:eastAsia="微软雅黑"/>
                <w:szCs w:val="21"/>
              </w:rPr>
              <w:t>理财产品份额净值</w:t>
            </w:r>
          </w:p>
        </w:tc>
        <w:tc>
          <w:tcPr>
            <w:tcW w:w="7200" w:type="dxa"/>
            <w:noWrap w:val="0"/>
            <w:vAlign w:val="top"/>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val="en-US" w:eastAsia="zh-CN"/>
              </w:rPr>
              <w:t>份额净值为提取管理费、托管费、销售费等相关费用后的产品单位份额净值，投资者按该份额净值进行赎回和提前终止时的分配。</w:t>
            </w:r>
          </w:p>
          <w:p>
            <w:pPr>
              <w:spacing w:line="320" w:lineRule="exact"/>
              <w:rPr>
                <w:rFonts w:ascii="微软雅黑" w:hAnsi="微软雅黑" w:eastAsia="微软雅黑"/>
                <w:szCs w:val="21"/>
              </w:rPr>
            </w:pPr>
            <w:r>
              <w:rPr>
                <w:rFonts w:hint="eastAsia" w:ascii="微软雅黑" w:hAnsi="微软雅黑" w:eastAsia="微软雅黑"/>
                <w:szCs w:val="21"/>
              </w:rPr>
              <w:t>本产品采用1.00元固定份额净值交易方式，自产品成立日起每日将产品实现的净收益（或净损失）</w:t>
            </w:r>
            <w:r>
              <w:rPr>
                <w:rFonts w:hint="eastAsia" w:ascii="微软雅黑" w:hAnsi="微软雅黑" w:eastAsia="微软雅黑"/>
                <w:szCs w:val="21"/>
                <w:lang w:val="en-US" w:eastAsia="zh-CN"/>
              </w:rPr>
              <w:t>以产品份额形式进行再</w:t>
            </w:r>
            <w:r>
              <w:rPr>
                <w:rFonts w:hint="eastAsia" w:ascii="微软雅黑" w:hAnsi="微软雅黑" w:eastAsia="微软雅黑"/>
                <w:szCs w:val="21"/>
                <w:lang w:eastAsia="zh-CN"/>
              </w:rPr>
              <w:t>分配</w:t>
            </w:r>
            <w:r>
              <w:rPr>
                <w:rFonts w:hint="eastAsia" w:ascii="微软雅黑" w:hAnsi="微软雅黑" w:eastAsia="微软雅黑"/>
                <w:szCs w:val="21"/>
              </w:rPr>
              <w:t>，</w:t>
            </w:r>
            <w:r>
              <w:rPr>
                <w:rFonts w:hint="eastAsia" w:ascii="微软雅黑" w:hAnsi="微软雅黑" w:eastAsia="微软雅黑"/>
                <w:szCs w:val="21"/>
                <w:lang w:eastAsia="zh-CN"/>
              </w:rPr>
              <w:t>使得</w:t>
            </w:r>
            <w:r>
              <w:rPr>
                <w:rFonts w:hint="eastAsia" w:ascii="微软雅黑" w:hAnsi="微软雅黑" w:eastAsia="微软雅黑"/>
                <w:szCs w:val="21"/>
              </w:rPr>
              <w:t>产品份额净值始终保持</w:t>
            </w:r>
            <w:r>
              <w:rPr>
                <w:rFonts w:hint="eastAsia" w:ascii="微软雅黑" w:hAnsi="微软雅黑" w:eastAsia="微软雅黑"/>
                <w:szCs w:val="21"/>
                <w:lang w:eastAsia="zh-CN"/>
              </w:rPr>
              <w:t>在</w:t>
            </w:r>
            <w:r>
              <w:rPr>
                <w:rFonts w:hint="eastAsia" w:ascii="微软雅黑" w:hAnsi="微软雅黑" w:eastAsia="微软雅黑"/>
                <w:szCs w:val="21"/>
              </w:rPr>
              <w:t>1.00元。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hint="eastAsia" w:ascii="微软雅黑" w:hAnsi="微软雅黑" w:eastAsia="微软雅黑"/>
                <w:szCs w:val="21"/>
              </w:rPr>
            </w:pPr>
            <w:r>
              <w:rPr>
                <w:rFonts w:hint="eastAsia" w:ascii="微软雅黑" w:hAnsi="微软雅黑" w:eastAsia="微软雅黑"/>
                <w:szCs w:val="21"/>
              </w:rPr>
              <w:t>认（申）购份额</w:t>
            </w:r>
          </w:p>
        </w:tc>
        <w:tc>
          <w:tcPr>
            <w:tcW w:w="7200" w:type="dxa"/>
            <w:noWrap w:val="0"/>
            <w:vAlign w:val="top"/>
          </w:tcPr>
          <w:p>
            <w:pPr>
              <w:spacing w:line="320" w:lineRule="exact"/>
              <w:rPr>
                <w:rFonts w:hint="eastAsia" w:ascii="微软雅黑" w:hAnsi="微软雅黑" w:eastAsia="微软雅黑"/>
                <w:szCs w:val="21"/>
              </w:rPr>
            </w:pPr>
            <w:r>
              <w:rPr>
                <w:rFonts w:hint="eastAsia" w:ascii="微软雅黑" w:hAnsi="微软雅黑" w:eastAsia="微软雅黑"/>
                <w:szCs w:val="21"/>
              </w:rPr>
              <w:t>认（申）购份额=认（申）购金额/1元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赎回金额</w:t>
            </w:r>
          </w:p>
        </w:tc>
        <w:tc>
          <w:tcPr>
            <w:tcW w:w="7200" w:type="dxa"/>
            <w:noWrap w:val="0"/>
            <w:vAlign w:val="top"/>
          </w:tcPr>
          <w:p>
            <w:pPr>
              <w:spacing w:line="300" w:lineRule="exact"/>
              <w:rPr>
                <w:rFonts w:hint="eastAsia" w:ascii="微软雅黑" w:hAnsi="微软雅黑" w:eastAsia="微软雅黑"/>
                <w:szCs w:val="21"/>
                <w:lang w:val="en-US" w:eastAsia="zh-CN"/>
              </w:rPr>
            </w:pPr>
            <w:r>
              <w:rPr>
                <w:rFonts w:hint="eastAsia" w:ascii="微软雅黑" w:hAnsi="微软雅黑" w:eastAsia="微软雅黑"/>
                <w:szCs w:val="21"/>
                <w:lang w:eastAsia="zh-CN"/>
              </w:rPr>
              <w:t>本产品以份额赎回，产品存续期间，本产品的单位净值为</w:t>
            </w:r>
            <w:r>
              <w:rPr>
                <w:rFonts w:hint="eastAsia" w:ascii="微软雅黑" w:hAnsi="微软雅黑" w:eastAsia="微软雅黑"/>
                <w:szCs w:val="21"/>
                <w:lang w:val="en-US" w:eastAsia="zh-CN"/>
              </w:rPr>
              <w:t>1元/份</w:t>
            </w:r>
          </w:p>
          <w:p>
            <w:pPr>
              <w:spacing w:line="320" w:lineRule="exact"/>
              <w:rPr>
                <w:rFonts w:hint="eastAsia" w:ascii="微软雅黑" w:hAnsi="微软雅黑" w:eastAsia="微软雅黑"/>
                <w:szCs w:val="21"/>
              </w:rPr>
            </w:pPr>
            <w:r>
              <w:rPr>
                <w:rFonts w:hint="eastAsia" w:ascii="微软雅黑" w:hAnsi="微软雅黑" w:eastAsia="微软雅黑"/>
                <w:szCs w:val="21"/>
                <w:lang w:val="en-US" w:eastAsia="zh-CN"/>
              </w:rPr>
              <w:t>赎回金额=赎回份额</w:t>
            </w:r>
            <w:r>
              <w:rPr>
                <w:rFonts w:hint="default" w:ascii="Arial" w:hAnsi="Arial" w:eastAsia="微软雅黑" w:cs="Arial"/>
                <w:szCs w:val="21"/>
                <w:lang w:val="en-US" w:eastAsia="zh-CN"/>
              </w:rPr>
              <w:t>×</w:t>
            </w:r>
            <w:r>
              <w:rPr>
                <w:rFonts w:hint="eastAsia" w:ascii="微软雅黑" w:hAnsi="微软雅黑" w:eastAsia="微软雅黑"/>
                <w:szCs w:val="21"/>
                <w:lang w:val="en-US" w:eastAsia="zh-CN"/>
              </w:rPr>
              <w:t>1.00，赎回金额保留至小数点后2位（四舍五入）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快速赎回</w:t>
            </w:r>
          </w:p>
        </w:tc>
        <w:tc>
          <w:tcPr>
            <w:tcW w:w="7200" w:type="dxa"/>
            <w:noWrap w:val="0"/>
            <w:vAlign w:val="top"/>
          </w:tcPr>
          <w:p>
            <w:pPr>
              <w:spacing w:line="320" w:lineRule="exact"/>
              <w:rPr>
                <w:rFonts w:hint="default" w:ascii="微软雅黑" w:hAnsi="微软雅黑" w:eastAsia="微软雅黑"/>
                <w:szCs w:val="21"/>
                <w:lang w:val="en-US"/>
              </w:rPr>
            </w:pPr>
            <w:r>
              <w:rPr>
                <w:rFonts w:hint="eastAsia" w:ascii="微软雅黑" w:hAnsi="微软雅黑" w:eastAsia="微软雅黑"/>
                <w:szCs w:val="21"/>
                <w:lang w:eastAsia="zh-CN"/>
              </w:rPr>
              <w:t>产品存续期内，投资者可通过</w:t>
            </w:r>
            <w:r>
              <w:rPr>
                <w:rFonts w:hint="eastAsia" w:ascii="微软雅黑" w:hAnsi="微软雅黑" w:eastAsia="微软雅黑"/>
                <w:szCs w:val="21"/>
                <w:lang w:val="en-US" w:eastAsia="zh-CN"/>
              </w:rPr>
              <w:t>珠海</w:t>
            </w:r>
            <w:r>
              <w:rPr>
                <w:rFonts w:hint="eastAsia" w:ascii="微软雅黑" w:hAnsi="微软雅黑" w:eastAsia="微软雅黑"/>
                <w:szCs w:val="21"/>
                <w:lang w:eastAsia="zh-CN"/>
              </w:rPr>
              <w:t>华润银行网银、手机银行等渠道进行快速赎回，单个投资者在每个开放日内累计快速赎回上限为</w:t>
            </w:r>
            <w:r>
              <w:rPr>
                <w:rFonts w:hint="eastAsia" w:ascii="微软雅黑" w:hAnsi="微软雅黑" w:eastAsia="微软雅黑"/>
                <w:szCs w:val="21"/>
                <w:highlight w:val="none"/>
                <w:lang w:val="en-US" w:eastAsia="zh-CN"/>
              </w:rPr>
              <w:t>1万份份</w:t>
            </w:r>
            <w:r>
              <w:rPr>
                <w:rFonts w:hint="eastAsia" w:ascii="微软雅黑" w:hAnsi="微软雅黑" w:eastAsia="微软雅黑"/>
                <w:szCs w:val="21"/>
                <w:lang w:val="en-US" w:eastAsia="zh-CN"/>
              </w:rPr>
              <w:t>额，即1万元。如无特殊情况，快速赎回金额将于赎回申请日当日到账。快速赎回的具体约定见《珠海华润银行润日升理财产品快速赎回服务协议》。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巨额赎回</w:t>
            </w:r>
          </w:p>
        </w:tc>
        <w:tc>
          <w:tcPr>
            <w:tcW w:w="7200" w:type="dxa"/>
            <w:noWrap w:val="0"/>
            <w:vAlign w:val="top"/>
          </w:tcPr>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指存续期内任一工作日，若理财产品投资者净赎回额超过上一工作日产品余额的</w:t>
            </w:r>
            <w:r>
              <w:rPr>
                <w:rFonts w:hint="eastAsia" w:ascii="微软雅黑" w:hAnsi="微软雅黑" w:eastAsia="微软雅黑"/>
                <w:szCs w:val="21"/>
                <w:lang w:val="en-US" w:eastAsia="zh-CN"/>
              </w:rPr>
              <w:t>10%，即发生巨额赎回。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hint="eastAsia" w:ascii="微软雅黑" w:hAnsi="微软雅黑" w:eastAsia="微软雅黑"/>
                <w:szCs w:val="21"/>
              </w:rPr>
            </w:pPr>
            <w:r>
              <w:rPr>
                <w:rFonts w:hint="eastAsia" w:ascii="微软雅黑" w:hAnsi="微软雅黑" w:eastAsia="微软雅黑"/>
                <w:szCs w:val="21"/>
              </w:rPr>
              <w:t>七日年化收益率</w:t>
            </w:r>
          </w:p>
        </w:tc>
        <w:tc>
          <w:tcPr>
            <w:tcW w:w="7200" w:type="dxa"/>
            <w:noWrap w:val="0"/>
            <w:vAlign w:val="top"/>
          </w:tcPr>
          <w:p>
            <w:pPr>
              <w:spacing w:line="320" w:lineRule="exact"/>
              <w:rPr>
                <w:rFonts w:hint="eastAsia" w:ascii="微软雅黑" w:hAnsi="微软雅黑" w:eastAsia="微软雅黑"/>
                <w:szCs w:val="21"/>
              </w:rPr>
            </w:pPr>
            <w:r>
              <w:rPr>
                <w:rFonts w:hint="eastAsia" w:ascii="微软雅黑" w:hAnsi="微软雅黑" w:eastAsia="微软雅黑"/>
                <w:szCs w:val="21"/>
              </w:rPr>
              <w:t>指以本产品最近七日（含节假日）收益所折算的产品年化收益率，产品成立不满七日时以实际日收益折算年化收益率。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rPr>
            </w:pPr>
            <w:r>
              <w:rPr>
                <w:rFonts w:hint="eastAsia" w:ascii="微软雅黑" w:hAnsi="微软雅黑" w:eastAsia="微软雅黑"/>
                <w:szCs w:val="21"/>
              </w:rPr>
              <w:t>每万份理财产品已实现收益</w:t>
            </w:r>
          </w:p>
        </w:tc>
        <w:tc>
          <w:tcPr>
            <w:tcW w:w="7200" w:type="dxa"/>
            <w:noWrap w:val="0"/>
            <w:vAlign w:val="top"/>
          </w:tcPr>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每万份理财产品已实现收益是指每一万份理财产品份额当日已实现的收益情况。</w:t>
            </w:r>
          </w:p>
          <w:p>
            <w:pPr>
              <w:spacing w:line="320" w:lineRule="exact"/>
              <w:rPr>
                <w:rFonts w:hint="default" w:ascii="微软雅黑" w:hAnsi="微软雅黑" w:eastAsia="微软雅黑"/>
                <w:szCs w:val="21"/>
                <w:lang w:val="en-US" w:eastAsia="zh-CN"/>
              </w:rPr>
            </w:pPr>
            <w:r>
              <w:rPr>
                <w:rFonts w:hint="eastAsia" w:ascii="微软雅黑" w:hAnsi="微软雅黑" w:eastAsia="微软雅黑"/>
                <w:szCs w:val="21"/>
                <w:lang w:eastAsia="zh-CN"/>
              </w:rPr>
              <w:t>计算方法：每万份理财产品已实现收益</w:t>
            </w:r>
            <w:r>
              <w:rPr>
                <w:rFonts w:hint="eastAsia" w:ascii="微软雅黑" w:hAnsi="微软雅黑" w:eastAsia="微软雅黑"/>
                <w:szCs w:val="21"/>
                <w:lang w:val="en-US" w:eastAsia="zh-CN"/>
              </w:rPr>
              <w:t>=当日理财产品份额已实现收益</w:t>
            </w:r>
            <w:r>
              <w:rPr>
                <w:rFonts w:hint="default" w:ascii="Arial" w:hAnsi="Arial" w:eastAsia="微软雅黑" w:cs="Arial"/>
                <w:szCs w:val="21"/>
                <w:lang w:val="en-US" w:eastAsia="zh-CN"/>
              </w:rPr>
              <w:t>÷</w:t>
            </w:r>
            <w:r>
              <w:rPr>
                <w:rFonts w:hint="eastAsia" w:ascii="微软雅黑" w:hAnsi="微软雅黑" w:eastAsia="微软雅黑"/>
                <w:szCs w:val="21"/>
                <w:lang w:val="en-US" w:eastAsia="zh-CN"/>
              </w:rPr>
              <w:t>当日理财产品份额</w:t>
            </w:r>
            <w:r>
              <w:rPr>
                <w:rFonts w:hint="default" w:ascii="Arial" w:hAnsi="Arial" w:eastAsia="微软雅黑" w:cs="Arial"/>
                <w:szCs w:val="21"/>
                <w:lang w:val="en-US" w:eastAsia="zh-CN"/>
              </w:rPr>
              <w:t>×</w:t>
            </w:r>
            <w:r>
              <w:rPr>
                <w:rFonts w:hint="eastAsia" w:ascii="微软雅黑" w:hAnsi="微软雅黑" w:eastAsia="微软雅黑"/>
                <w:szCs w:val="21"/>
                <w:lang w:val="en-US" w:eastAsia="zh-CN"/>
              </w:rPr>
              <w:t>10000</w:t>
            </w:r>
            <w:r>
              <w:rPr>
                <w:rFonts w:hint="eastAsia" w:ascii="微软雅黑" w:hAnsi="微软雅黑" w:eastAsia="微软雅黑"/>
                <w:szCs w:val="21"/>
              </w:rPr>
              <w:t>（保留4位小数</w:t>
            </w:r>
            <w:r>
              <w:rPr>
                <w:rFonts w:hint="eastAsia" w:ascii="微软雅黑" w:hAnsi="微软雅黑" w:eastAsia="微软雅黑"/>
                <w:szCs w:val="21"/>
                <w:lang w:eastAsia="zh-CN"/>
              </w:rPr>
              <w:t>，四舍五入</w:t>
            </w:r>
            <w:r>
              <w:rPr>
                <w:rFonts w:hint="eastAsia" w:ascii="微软雅黑" w:hAnsi="微软雅黑" w:eastAsia="微软雅黑"/>
                <w:szCs w:val="21"/>
              </w:rPr>
              <w:t>）</w:t>
            </w:r>
          </w:p>
          <w:p>
            <w:pPr>
              <w:spacing w:line="320" w:lineRule="exact"/>
              <w:rPr>
                <w:rFonts w:ascii="微软雅黑" w:hAnsi="微软雅黑" w:eastAsia="微软雅黑"/>
                <w:szCs w:val="21"/>
              </w:rPr>
            </w:pPr>
            <w:r>
              <w:rPr>
                <w:rFonts w:hint="eastAsia" w:ascii="微软雅黑" w:hAnsi="微软雅黑" w:eastAsia="微软雅黑"/>
                <w:szCs w:val="21"/>
                <w:lang w:eastAsia="zh-CN"/>
              </w:rPr>
              <w:t>珠海华润银行在每个工作日（</w:t>
            </w:r>
            <w:r>
              <w:rPr>
                <w:rFonts w:hint="eastAsia" w:ascii="微软雅黑" w:hAnsi="微软雅黑" w:eastAsia="微软雅黑"/>
                <w:szCs w:val="21"/>
                <w:lang w:val="en-US" w:eastAsia="zh-CN"/>
              </w:rPr>
              <w:t>T日）计算每万份理财产品已实现收益，并于该工作日后的第一个工作日（T+1个工作日）通过珠海华润银行网站等渠道公布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rPr>
            </w:pPr>
            <w:r>
              <w:rPr>
                <w:rFonts w:hint="eastAsia" w:ascii="微软雅黑" w:hAnsi="微软雅黑" w:eastAsia="微软雅黑"/>
                <w:szCs w:val="21"/>
              </w:rPr>
              <w:t>节假日</w:t>
            </w:r>
          </w:p>
        </w:tc>
        <w:tc>
          <w:tcPr>
            <w:tcW w:w="7200" w:type="dxa"/>
            <w:noWrap w:val="0"/>
            <w:vAlign w:val="top"/>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rPr>
            </w:pPr>
            <w:r>
              <w:rPr>
                <w:rFonts w:hint="eastAsia" w:ascii="微软雅黑" w:hAnsi="微软雅黑" w:eastAsia="微软雅黑"/>
                <w:szCs w:val="21"/>
              </w:rPr>
              <w:t>工作日</w:t>
            </w:r>
          </w:p>
        </w:tc>
        <w:tc>
          <w:tcPr>
            <w:tcW w:w="7200" w:type="dxa"/>
            <w:noWrap w:val="0"/>
            <w:vAlign w:val="top"/>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noWrap w:val="0"/>
            <w:vAlign w:val="top"/>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w:t>
            </w:r>
            <w:r>
              <w:rPr>
                <w:rFonts w:hint="eastAsia" w:ascii="微软雅黑" w:hAnsi="微软雅黑" w:eastAsia="微软雅黑"/>
                <w:szCs w:val="21"/>
                <w:lang w:eastAsia="zh-CN"/>
              </w:rPr>
              <w:t>投资者</w:t>
            </w:r>
            <w:r>
              <w:rPr>
                <w:rFonts w:hint="eastAsia" w:ascii="微软雅黑" w:hAnsi="微软雅黑" w:eastAsia="微软雅黑"/>
                <w:szCs w:val="21"/>
              </w:rPr>
              <w:t>知悉。</w:t>
            </w:r>
            <w:r>
              <w:rPr>
                <w:rFonts w:hint="eastAsia" w:ascii="微软雅黑" w:hAnsi="微软雅黑" w:eastAsia="微软雅黑"/>
                <w:szCs w:val="21"/>
                <w:lang w:eastAsia="zh-CN"/>
              </w:rPr>
              <w:t>投资者</w:t>
            </w:r>
            <w:r>
              <w:rPr>
                <w:rFonts w:hint="eastAsia" w:ascii="微软雅黑" w:hAnsi="微软雅黑" w:eastAsia="微软雅黑"/>
                <w:szCs w:val="21"/>
              </w:rPr>
              <w:t>从理财产品取得的收益应缴纳的税款，由</w:t>
            </w:r>
            <w:r>
              <w:rPr>
                <w:rFonts w:hint="eastAsia" w:ascii="微软雅黑" w:hAnsi="微软雅黑" w:eastAsia="微软雅黑"/>
                <w:szCs w:val="21"/>
                <w:lang w:eastAsia="zh-CN"/>
              </w:rPr>
              <w:t>投资者</w:t>
            </w:r>
            <w:r>
              <w:rPr>
                <w:rFonts w:hint="eastAsia" w:ascii="微软雅黑" w:hAnsi="微软雅黑" w:eastAsia="微软雅黑"/>
                <w:szCs w:val="21"/>
              </w:rPr>
              <w:t>自行申报及缴纳。</w:t>
            </w:r>
          </w:p>
        </w:tc>
      </w:tr>
    </w:tbl>
    <w:p>
      <w:pPr>
        <w:adjustRightInd w:val="0"/>
        <w:snapToGrid w:val="0"/>
        <w:spacing w:line="320" w:lineRule="exact"/>
        <w:rPr>
          <w:rFonts w:ascii="微软雅黑" w:hAnsi="微软雅黑" w:eastAsia="微软雅黑" w:cs="Arial"/>
          <w:b/>
          <w:szCs w:val="21"/>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0"/>
          <w:numId w:val="0"/>
        </w:numPr>
        <w:adjustRightInd w:val="0"/>
        <w:snapToGrid w:val="0"/>
        <w:spacing w:line="320" w:lineRule="exact"/>
        <w:ind w:left="420" w:leftChars="200" w:firstLine="0" w:firstLineChars="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0"/>
          <w:numId w:val="0"/>
        </w:numPr>
        <w:adjustRightInd w:val="0"/>
        <w:snapToGrid w:val="0"/>
        <w:spacing w:line="320" w:lineRule="exact"/>
        <w:ind w:left="420" w:leftChars="200" w:firstLine="0" w:firstLineChars="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的约定，及时、足额获得投资管理费；</w:t>
      </w:r>
    </w:p>
    <w:p>
      <w:pPr>
        <w:numPr>
          <w:ilvl w:val="0"/>
          <w:numId w:val="0"/>
        </w:numPr>
        <w:adjustRightInd w:val="0"/>
        <w:snapToGrid w:val="0"/>
        <w:spacing w:line="320" w:lineRule="exact"/>
        <w:ind w:left="420" w:leftChars="200" w:firstLine="0" w:firstLineChars="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w:t>
      </w:r>
    </w:p>
    <w:p>
      <w:pPr>
        <w:numPr>
          <w:ilvl w:val="0"/>
          <w:numId w:val="0"/>
        </w:numPr>
        <w:adjustRightInd w:val="0"/>
        <w:snapToGrid w:val="0"/>
        <w:spacing w:line="320" w:lineRule="exact"/>
        <w:ind w:left="420" w:leftChars="200" w:firstLine="0" w:firstLineChars="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0"/>
          <w:numId w:val="0"/>
        </w:numPr>
        <w:adjustRightInd w:val="0"/>
        <w:snapToGrid w:val="0"/>
        <w:spacing w:line="320" w:lineRule="exact"/>
        <w:ind w:left="420" w:leftChars="200" w:firstLine="0" w:firstLineChars="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0"/>
          <w:numId w:val="0"/>
        </w:numPr>
        <w:adjustRightInd w:val="0"/>
        <w:snapToGrid w:val="0"/>
        <w:spacing w:line="320" w:lineRule="exact"/>
        <w:ind w:left="420" w:leftChars="200" w:firstLine="0" w:firstLineChars="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0"/>
          <w:numId w:val="0"/>
        </w:numPr>
        <w:adjustRightInd w:val="0"/>
        <w:snapToGrid w:val="0"/>
        <w:spacing w:line="320" w:lineRule="exact"/>
        <w:ind w:left="420" w:leftChars="200" w:firstLine="0" w:firstLineChars="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0"/>
          <w:numId w:val="0"/>
        </w:numPr>
        <w:adjustRightInd w:val="0"/>
        <w:snapToGrid w:val="0"/>
        <w:spacing w:line="320" w:lineRule="exact"/>
        <w:ind w:left="420" w:leftChars="200" w:firstLine="0" w:firstLineChars="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0"/>
          <w:numId w:val="0"/>
        </w:numPr>
        <w:adjustRightInd w:val="0"/>
        <w:snapToGrid w:val="0"/>
        <w:spacing w:line="320" w:lineRule="exact"/>
        <w:ind w:left="420" w:leftChars="200" w:firstLine="0" w:firstLineChars="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szCs w:val="21"/>
          <w:lang w:val="en-US" w:eastAsia="zh-CN"/>
        </w:rPr>
        <w:t>江苏</w:t>
      </w:r>
      <w:r>
        <w:rPr>
          <w:rFonts w:hint="eastAsia" w:ascii="微软雅黑" w:hAnsi="微软雅黑" w:eastAsia="微软雅黑" w:cs="Arial"/>
          <w:b w:val="0"/>
          <w:bCs/>
          <w:szCs w:val="21"/>
          <w:highlight w:val="none"/>
          <w:lang w:val="en-US" w:eastAsia="zh-CN"/>
        </w:rPr>
        <w:t>银行</w:t>
      </w:r>
      <w:r>
        <w:rPr>
          <w:rFonts w:hint="eastAsia" w:ascii="微软雅黑" w:hAnsi="微软雅黑" w:eastAsia="微软雅黑"/>
          <w:szCs w:val="21"/>
        </w:rPr>
        <w:t>股份有限公司</w:t>
      </w:r>
      <w:r>
        <w:rPr>
          <w:rFonts w:hint="eastAsia" w:ascii="微软雅黑" w:hAnsi="微软雅黑" w:eastAsia="微软雅黑" w:cs="Arial"/>
          <w:b w:val="0"/>
          <w:bCs/>
          <w:szCs w:val="21"/>
          <w:highlight w:val="none"/>
          <w:lang w:val="en-US" w:eastAsia="zh-CN"/>
        </w:rPr>
        <w:t>作为本理财产品的托管人，主要职责如下：</w:t>
      </w:r>
    </w:p>
    <w:p>
      <w:pPr>
        <w:numPr>
          <w:ilvl w:val="0"/>
          <w:numId w:val="0"/>
        </w:numPr>
        <w:adjustRightInd w:val="0"/>
        <w:snapToGrid w:val="0"/>
        <w:spacing w:line="320" w:lineRule="exact"/>
        <w:ind w:left="420" w:leftChars="200" w:firstLine="0" w:firstLineChars="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0"/>
          <w:numId w:val="0"/>
        </w:numPr>
        <w:adjustRightInd w:val="0"/>
        <w:snapToGrid w:val="0"/>
        <w:spacing w:line="320" w:lineRule="exact"/>
        <w:ind w:left="420" w:leftChars="200" w:firstLine="0" w:firstLineChars="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0"/>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0"/>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0"/>
          <w:numId w:val="0"/>
        </w:numPr>
        <w:adjustRightInd w:val="0"/>
        <w:snapToGrid w:val="0"/>
        <w:spacing w:line="320" w:lineRule="exact"/>
        <w:ind w:left="420" w:leftChars="200" w:firstLine="0" w:firstLineChars="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0"/>
          <w:numId w:val="0"/>
        </w:numPr>
        <w:adjustRightInd w:val="0"/>
        <w:snapToGrid w:val="0"/>
        <w:spacing w:line="320" w:lineRule="exact"/>
        <w:ind w:left="420" w:leftChars="200" w:firstLine="0" w:firstLineChars="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0"/>
          <w:numId w:val="0"/>
        </w:numPr>
        <w:adjustRightInd w:val="0"/>
        <w:snapToGrid w:val="0"/>
        <w:spacing w:line="320" w:lineRule="exact"/>
        <w:ind w:left="420" w:leftChars="200" w:firstLine="0" w:firstLineChars="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0"/>
          <w:numId w:val="0"/>
        </w:numPr>
        <w:adjustRightInd w:val="0"/>
        <w:snapToGrid w:val="0"/>
        <w:spacing w:line="320" w:lineRule="exact"/>
        <w:ind w:left="420" w:leftChars="200" w:firstLine="0" w:firstLineChars="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0"/>
          <w:numId w:val="0"/>
        </w:numPr>
        <w:adjustRightInd w:val="0"/>
        <w:snapToGrid w:val="0"/>
        <w:spacing w:line="320" w:lineRule="exact"/>
        <w:ind w:left="420" w:leftChars="200" w:firstLine="0" w:firstLineChars="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9.法律法规规定和托管合同约定的其他权利和职责。</w:t>
      </w:r>
    </w:p>
    <w:p>
      <w:pPr>
        <w:adjustRightInd w:val="0"/>
        <w:snapToGrid w:val="0"/>
        <w:spacing w:line="320" w:lineRule="exact"/>
        <w:rPr>
          <w:rFonts w:ascii="微软雅黑" w:hAnsi="微软雅黑" w:eastAsia="微软雅黑" w:cs="Arial"/>
          <w:b/>
          <w:szCs w:val="21"/>
        </w:rPr>
      </w:pPr>
    </w:p>
    <w:p>
      <w:pPr>
        <w:adjustRightInd w:val="0"/>
        <w:snapToGrid w:val="0"/>
        <w:spacing w:line="320" w:lineRule="exact"/>
        <w:ind w:left="456"/>
        <w:rPr>
          <w:rFonts w:hint="eastAsia" w:ascii="微软雅黑" w:hAnsi="微软雅黑" w:eastAsia="微软雅黑" w:cs="Arial"/>
          <w:b/>
          <w:szCs w:val="21"/>
          <w:lang w:eastAsia="zh-CN"/>
        </w:rPr>
      </w:pPr>
      <w:r>
        <w:rPr>
          <w:rFonts w:hint="eastAsia" w:ascii="微软雅黑" w:hAnsi="微软雅黑" w:eastAsia="微软雅黑" w:cs="Arial"/>
          <w:b/>
          <w:szCs w:val="21"/>
        </w:rPr>
        <w:t>二、投资</w:t>
      </w:r>
      <w:r>
        <w:rPr>
          <w:rFonts w:hint="eastAsia" w:ascii="微软雅黑" w:hAnsi="微软雅黑" w:eastAsia="微软雅黑" w:cs="Arial"/>
          <w:b/>
          <w:szCs w:val="21"/>
          <w:lang w:eastAsia="zh-CN"/>
        </w:rPr>
        <w:t>运作</w:t>
      </w:r>
    </w:p>
    <w:p>
      <w:pPr>
        <w:numPr>
          <w:ilvl w:val="0"/>
          <w:numId w:val="0"/>
        </w:numPr>
        <w:adjustRightInd w:val="0"/>
        <w:snapToGrid w:val="0"/>
        <w:spacing w:line="320" w:lineRule="exact"/>
        <w:ind w:left="0" w:firstLine="420" w:firstLineChars="200"/>
        <w:rPr>
          <w:rFonts w:ascii="微软雅黑" w:hAnsi="微软雅黑" w:eastAsia="微软雅黑" w:cs="Arial"/>
          <w:b/>
          <w:bCs w:val="0"/>
          <w:szCs w:val="21"/>
        </w:rPr>
      </w:pPr>
      <w:r>
        <w:rPr>
          <w:rFonts w:hint="eastAsia" w:ascii="微软雅黑" w:hAnsi="微软雅黑" w:eastAsia="微软雅黑" w:cs="Arial"/>
          <w:b/>
          <w:bCs w:val="0"/>
          <w:szCs w:val="21"/>
          <w:lang w:val="en-US" w:eastAsia="zh-CN"/>
        </w:rPr>
        <w:t>(</w:t>
      </w:r>
      <w:r>
        <w:rPr>
          <w:rFonts w:hint="eastAsia" w:ascii="微软雅黑" w:hAnsi="微软雅黑" w:eastAsia="微软雅黑" w:cs="Arial"/>
          <w:b/>
          <w:bCs w:val="0"/>
          <w:szCs w:val="21"/>
          <w:lang w:eastAsia="zh-CN"/>
        </w:rPr>
        <w:t>一</w:t>
      </w:r>
      <w:r>
        <w:rPr>
          <w:rFonts w:hint="eastAsia" w:ascii="微软雅黑" w:hAnsi="微软雅黑" w:eastAsia="微软雅黑" w:cs="Arial"/>
          <w:b/>
          <w:bCs w:val="0"/>
          <w:szCs w:val="21"/>
          <w:lang w:val="en-US" w:eastAsia="zh-CN"/>
        </w:rPr>
        <w:t>)</w:t>
      </w:r>
      <w:r>
        <w:rPr>
          <w:rFonts w:hint="eastAsia" w:ascii="微软雅黑" w:hAnsi="微软雅黑" w:eastAsia="微软雅黑" w:cs="Arial"/>
          <w:b/>
          <w:bCs w:val="0"/>
          <w:szCs w:val="21"/>
          <w:lang w:eastAsia="zh-CN"/>
        </w:rPr>
        <w:t>投资对象</w:t>
      </w:r>
    </w:p>
    <w:p>
      <w:pPr>
        <w:spacing w:line="320" w:lineRule="exact"/>
        <w:ind w:firstLine="420" w:firstLineChars="200"/>
        <w:jc w:val="left"/>
        <w:rPr>
          <w:rFonts w:hint="eastAsia" w:ascii="微软雅黑" w:hAnsi="微软雅黑" w:eastAsia="微软雅黑"/>
          <w:szCs w:val="21"/>
          <w:lang w:eastAsia="zh-CN"/>
        </w:rPr>
      </w:pPr>
      <w:r>
        <w:rPr>
          <w:rFonts w:hint="eastAsia" w:ascii="微软雅黑" w:hAnsi="微软雅黑" w:eastAsia="微软雅黑"/>
          <w:szCs w:val="21"/>
          <w:lang w:eastAsia="zh-CN"/>
        </w:rPr>
        <w:t>本理财产品理财资金可直接或通过信托计划、资产管理计划等资产管理产品间接投资于以下金融资产和金融工具，包括但不限于：</w:t>
      </w:r>
    </w:p>
    <w:p>
      <w:pPr>
        <w:numPr>
          <w:ilvl w:val="0"/>
          <w:numId w:val="5"/>
        </w:numPr>
        <w:spacing w:line="320" w:lineRule="exact"/>
        <w:ind w:firstLine="420" w:firstLineChars="200"/>
        <w:jc w:val="left"/>
        <w:rPr>
          <w:rFonts w:hint="default" w:ascii="微软雅黑" w:hAnsi="微软雅黑" w:eastAsia="微软雅黑"/>
          <w:szCs w:val="21"/>
          <w:lang w:val="en-US" w:eastAsia="zh-CN"/>
        </w:rPr>
      </w:pPr>
      <w:r>
        <w:rPr>
          <w:rFonts w:hint="eastAsia" w:ascii="微软雅黑" w:hAnsi="微软雅黑" w:eastAsia="微软雅黑"/>
          <w:szCs w:val="21"/>
          <w:lang w:val="en-US" w:eastAsia="zh-CN"/>
        </w:rPr>
        <w:t>现金；</w:t>
      </w:r>
    </w:p>
    <w:p>
      <w:pPr>
        <w:numPr>
          <w:ilvl w:val="0"/>
          <w:numId w:val="5"/>
        </w:numPr>
        <w:spacing w:line="320" w:lineRule="exact"/>
        <w:ind w:firstLine="420" w:firstLineChars="200"/>
        <w:jc w:val="left"/>
        <w:rPr>
          <w:rFonts w:hint="default" w:ascii="微软雅黑" w:hAnsi="微软雅黑" w:eastAsia="微软雅黑"/>
          <w:szCs w:val="21"/>
          <w:lang w:val="en-US" w:eastAsia="zh-CN"/>
        </w:rPr>
      </w:pPr>
      <w:r>
        <w:rPr>
          <w:rFonts w:hint="eastAsia" w:ascii="微软雅黑" w:hAnsi="微软雅黑" w:eastAsia="微软雅黑"/>
          <w:szCs w:val="21"/>
          <w:lang w:val="en-US" w:eastAsia="zh-CN"/>
        </w:rPr>
        <w:t>期限在1年以内（含1年）的银行存款、债券回购、中央银行票据、同业存单；</w:t>
      </w:r>
    </w:p>
    <w:p>
      <w:pPr>
        <w:numPr>
          <w:ilvl w:val="0"/>
          <w:numId w:val="5"/>
        </w:numPr>
        <w:spacing w:line="320" w:lineRule="exact"/>
        <w:ind w:firstLine="420" w:firstLineChars="200"/>
        <w:jc w:val="left"/>
        <w:rPr>
          <w:rFonts w:hint="default" w:ascii="微软雅黑" w:hAnsi="微软雅黑" w:eastAsia="微软雅黑"/>
          <w:szCs w:val="21"/>
          <w:lang w:val="en-US" w:eastAsia="zh-CN"/>
        </w:rPr>
      </w:pPr>
      <w:r>
        <w:rPr>
          <w:rFonts w:hint="eastAsia" w:ascii="微软雅黑" w:hAnsi="微软雅黑" w:eastAsia="微软雅黑"/>
          <w:szCs w:val="21"/>
          <w:lang w:val="en-US" w:eastAsia="zh-CN"/>
        </w:rPr>
        <w:t>剩余期限在397天以内（含397天）的债券（包括非金融企业债务融资工具）、在银行间市场和证券交易所市场发行的资产支持证券；</w:t>
      </w:r>
    </w:p>
    <w:p>
      <w:pPr>
        <w:numPr>
          <w:ilvl w:val="0"/>
          <w:numId w:val="5"/>
        </w:numPr>
        <w:spacing w:line="320" w:lineRule="exact"/>
        <w:ind w:firstLine="420" w:firstLineChars="200"/>
        <w:jc w:val="left"/>
        <w:rPr>
          <w:rFonts w:hint="default" w:ascii="微软雅黑" w:hAnsi="微软雅黑" w:eastAsia="微软雅黑"/>
          <w:szCs w:val="21"/>
          <w:lang w:val="en-US" w:eastAsia="zh-CN"/>
        </w:rPr>
      </w:pPr>
      <w:r>
        <w:rPr>
          <w:rFonts w:hint="eastAsia" w:ascii="微软雅黑" w:hAnsi="微软雅黑" w:eastAsia="微软雅黑"/>
          <w:szCs w:val="21"/>
          <w:lang w:val="en-US" w:eastAsia="zh-CN"/>
        </w:rPr>
        <w:t>银保监会、中国人民银行认可的其他具有良好流动性的货币市场工具；</w:t>
      </w:r>
    </w:p>
    <w:p>
      <w:pPr>
        <w:numPr>
          <w:ilvl w:val="0"/>
          <w:numId w:val="5"/>
        </w:numPr>
        <w:spacing w:line="320" w:lineRule="exact"/>
        <w:ind w:firstLine="420" w:firstLineChars="200"/>
        <w:jc w:val="left"/>
        <w:rPr>
          <w:rFonts w:hint="default" w:ascii="微软雅黑" w:hAnsi="微软雅黑" w:eastAsia="微软雅黑"/>
          <w:szCs w:val="21"/>
          <w:lang w:val="en-US" w:eastAsia="zh-CN"/>
        </w:rPr>
      </w:pPr>
      <w:r>
        <w:rPr>
          <w:rFonts w:hint="eastAsia" w:ascii="微软雅黑" w:hAnsi="微软雅黑" w:eastAsia="微软雅黑"/>
          <w:szCs w:val="21"/>
          <w:lang w:val="en-US" w:eastAsia="zh-CN"/>
        </w:rPr>
        <w:t>以及其他符合监管规定的金融资产。</w:t>
      </w:r>
    </w:p>
    <w:p>
      <w:pPr>
        <w:numPr>
          <w:ilvl w:val="-1"/>
          <w:numId w:val="0"/>
        </w:numPr>
        <w:spacing w:line="320" w:lineRule="exact"/>
        <w:ind w:firstLine="420" w:firstLineChars="200"/>
        <w:jc w:val="left"/>
        <w:rPr>
          <w:rFonts w:hint="eastAsia" w:ascii="微软雅黑" w:hAnsi="微软雅黑" w:eastAsia="微软雅黑"/>
          <w:b/>
          <w:bCs/>
          <w:szCs w:val="21"/>
          <w:lang w:val="en-US" w:eastAsia="zh-CN"/>
        </w:rPr>
      </w:pPr>
      <w:r>
        <w:rPr>
          <w:rFonts w:hint="eastAsia" w:ascii="微软雅黑" w:hAnsi="微软雅黑" w:eastAsia="微软雅黑"/>
          <w:b/>
          <w:bCs/>
          <w:szCs w:val="21"/>
          <w:lang w:val="en-US" w:eastAsia="zh-CN"/>
        </w:rPr>
        <w:t>（二）投资比例</w:t>
      </w:r>
    </w:p>
    <w:p>
      <w:pPr>
        <w:numPr>
          <w:ilvl w:val="0"/>
          <w:numId w:val="0"/>
        </w:numPr>
        <w:spacing w:line="320" w:lineRule="exact"/>
        <w:ind w:firstLine="0" w:firstLineChars="0"/>
        <w:jc w:val="left"/>
        <w:rPr>
          <w:rFonts w:hint="eastAsia" w:ascii="微软雅黑" w:hAnsi="微软雅黑" w:eastAsia="微软雅黑"/>
          <w:szCs w:val="21"/>
          <w:lang w:val="en-US" w:eastAsia="zh-CN"/>
        </w:rPr>
      </w:pPr>
      <w:r>
        <w:rPr>
          <w:rFonts w:hint="eastAsia" w:ascii="微软雅黑" w:hAnsi="微软雅黑" w:eastAsia="微软雅黑"/>
          <w:szCs w:val="21"/>
          <w:lang w:val="en-US" w:eastAsia="zh-CN"/>
        </w:rPr>
        <w:t xml:space="preserve">   各投资品种的计划配置比例如下：</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numPr>
                <w:ilvl w:val="0"/>
                <w:numId w:val="0"/>
              </w:numPr>
              <w:spacing w:line="320" w:lineRule="exact"/>
              <w:jc w:val="left"/>
              <w:rPr>
                <w:rFonts w:hint="default" w:ascii="微软雅黑" w:hAnsi="微软雅黑" w:eastAsia="微软雅黑"/>
                <w:szCs w:val="21"/>
                <w:vertAlign w:val="baseline"/>
                <w:lang w:val="en-US" w:eastAsia="zh-CN"/>
              </w:rPr>
            </w:pPr>
            <w:r>
              <w:rPr>
                <w:rFonts w:hint="eastAsia" w:ascii="微软雅黑" w:hAnsi="微软雅黑" w:eastAsia="微软雅黑"/>
                <w:szCs w:val="21"/>
                <w:vertAlign w:val="baseline"/>
                <w:lang w:val="en-US" w:eastAsia="zh-CN"/>
              </w:rPr>
              <w:t>投资品种</w:t>
            </w:r>
          </w:p>
        </w:tc>
        <w:tc>
          <w:tcPr>
            <w:tcW w:w="4261" w:type="dxa"/>
            <w:noWrap w:val="0"/>
            <w:vAlign w:val="top"/>
          </w:tcPr>
          <w:p>
            <w:pPr>
              <w:numPr>
                <w:ilvl w:val="0"/>
                <w:numId w:val="0"/>
              </w:numPr>
              <w:spacing w:line="320" w:lineRule="exact"/>
              <w:jc w:val="left"/>
              <w:rPr>
                <w:rFonts w:hint="default" w:ascii="微软雅黑" w:hAnsi="微软雅黑" w:eastAsia="微软雅黑"/>
                <w:szCs w:val="21"/>
                <w:vertAlign w:val="baseline"/>
                <w:lang w:val="en-US" w:eastAsia="zh-CN"/>
              </w:rPr>
            </w:pPr>
            <w:r>
              <w:rPr>
                <w:rFonts w:hint="eastAsia" w:ascii="微软雅黑" w:hAnsi="微软雅黑" w:eastAsia="微软雅黑"/>
                <w:szCs w:val="21"/>
                <w:vertAlign w:val="baseline"/>
                <w:lang w:val="en-US" w:eastAsia="zh-CN"/>
              </w:rPr>
              <w:t>计划配置比例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numPr>
                <w:ilvl w:val="0"/>
                <w:numId w:val="0"/>
              </w:numPr>
              <w:spacing w:line="320" w:lineRule="exact"/>
              <w:jc w:val="left"/>
              <w:rPr>
                <w:rFonts w:hint="default" w:ascii="微软雅黑" w:hAnsi="微软雅黑" w:eastAsia="微软雅黑"/>
                <w:szCs w:val="21"/>
                <w:vertAlign w:val="baseline"/>
                <w:lang w:val="en-US" w:eastAsia="zh-CN"/>
              </w:rPr>
            </w:pPr>
            <w:r>
              <w:rPr>
                <w:rFonts w:hint="eastAsia" w:ascii="微软雅黑" w:hAnsi="微软雅黑" w:eastAsia="微软雅黑"/>
                <w:szCs w:val="21"/>
                <w:vertAlign w:val="baseline"/>
                <w:lang w:val="en-US" w:eastAsia="zh-CN"/>
              </w:rPr>
              <w:t>固定收益类</w:t>
            </w:r>
          </w:p>
        </w:tc>
        <w:tc>
          <w:tcPr>
            <w:tcW w:w="4261" w:type="dxa"/>
            <w:noWrap w:val="0"/>
            <w:vAlign w:val="top"/>
          </w:tcPr>
          <w:p>
            <w:pPr>
              <w:numPr>
                <w:ilvl w:val="0"/>
                <w:numId w:val="0"/>
              </w:numPr>
              <w:spacing w:line="320" w:lineRule="exact"/>
              <w:jc w:val="left"/>
              <w:rPr>
                <w:rFonts w:hint="default" w:ascii="微软雅黑" w:hAnsi="微软雅黑" w:eastAsia="微软雅黑"/>
                <w:szCs w:val="21"/>
                <w:vertAlign w:val="baseline"/>
                <w:lang w:val="en-US" w:eastAsia="zh-CN"/>
              </w:rPr>
            </w:pPr>
            <w:r>
              <w:rPr>
                <w:rFonts w:hint="eastAsia" w:ascii="微软雅黑" w:hAnsi="微软雅黑" w:eastAsia="微软雅黑"/>
                <w:szCs w:val="21"/>
                <w:vertAlign w:val="baseline"/>
                <w:lang w:val="en-US" w:eastAsia="zh-CN"/>
              </w:rPr>
              <w:t>不低于80%</w:t>
            </w:r>
          </w:p>
        </w:tc>
      </w:tr>
    </w:tbl>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w:t>
      </w:r>
      <w:r>
        <w:rPr>
          <w:rFonts w:hint="eastAsia" w:ascii="微软雅黑" w:hAnsi="微软雅黑" w:eastAsia="微软雅黑"/>
          <w:szCs w:val="21"/>
          <w:lang w:eastAsia="zh-CN"/>
        </w:rPr>
        <w:t>投资者</w:t>
      </w:r>
      <w:r>
        <w:rPr>
          <w:rFonts w:hint="eastAsia" w:ascii="微软雅黑" w:hAnsi="微软雅黑" w:eastAsia="微软雅黑"/>
          <w:szCs w:val="21"/>
        </w:rPr>
        <w:t>利益最大化为原则，在1</w:t>
      </w:r>
      <w:r>
        <w:rPr>
          <w:rFonts w:hint="eastAsia" w:ascii="微软雅黑" w:hAnsi="微软雅黑" w:eastAsia="微软雅黑"/>
          <w:szCs w:val="21"/>
          <w:lang w:val="en-US" w:eastAsia="zh-CN"/>
        </w:rPr>
        <w:t>0</w:t>
      </w:r>
      <w:r>
        <w:rPr>
          <w:rFonts w:hint="eastAsia" w:ascii="微软雅黑" w:hAnsi="微软雅黑" w:eastAsia="微软雅黑"/>
          <w:szCs w:val="21"/>
        </w:rPr>
        <w:t>个工作日内调整投资比例至上述区间。</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珠海华润银行有权根据市场情况，在不损害</w:t>
      </w:r>
      <w:r>
        <w:rPr>
          <w:rFonts w:hint="eastAsia" w:ascii="微软雅黑" w:hAnsi="微软雅黑" w:eastAsia="微软雅黑"/>
          <w:szCs w:val="21"/>
          <w:lang w:eastAsia="zh-CN"/>
        </w:rPr>
        <w:t>投资者</w:t>
      </w:r>
      <w:r>
        <w:rPr>
          <w:rFonts w:hint="eastAsia" w:ascii="微软雅黑" w:hAnsi="微软雅黑" w:eastAsia="微软雅黑"/>
          <w:szCs w:val="21"/>
        </w:rPr>
        <w:t>利益且根据约定提前公告的情况下，对本理财产品的投资范围、投资资产种类和投资比例进行调整。</w:t>
      </w:r>
    </w:p>
    <w:p>
      <w:pPr>
        <w:spacing w:line="320" w:lineRule="exact"/>
        <w:ind w:firstLine="420" w:firstLineChars="200"/>
        <w:rPr>
          <w:rFonts w:hint="default" w:ascii="微软雅黑" w:hAnsi="微软雅黑" w:eastAsia="微软雅黑"/>
          <w:b/>
          <w:bCs/>
          <w:szCs w:val="21"/>
          <w:lang w:val="en-US" w:eastAsia="zh-CN"/>
        </w:rPr>
      </w:pPr>
      <w:r>
        <w:rPr>
          <w:rFonts w:hint="eastAsia" w:ascii="微软雅黑" w:hAnsi="微软雅黑" w:eastAsia="微软雅黑"/>
          <w:b/>
          <w:bCs/>
          <w:szCs w:val="21"/>
          <w:lang w:val="en-US" w:eastAsia="zh-CN"/>
        </w:rPr>
        <w:t>(三）投资策略</w:t>
      </w:r>
    </w:p>
    <w:p>
      <w:pPr>
        <w:spacing w:line="320" w:lineRule="exact"/>
        <w:ind w:firstLine="420" w:firstLineChars="200"/>
        <w:rPr>
          <w:rFonts w:ascii="微软雅黑" w:hAnsi="微软雅黑" w:eastAsia="微软雅黑"/>
          <w:szCs w:val="21"/>
        </w:rPr>
      </w:pPr>
      <w:r>
        <w:rPr>
          <w:rFonts w:hint="eastAsia" w:ascii="微软雅黑" w:hAnsi="微软雅黑" w:eastAsia="微软雅黑" w:cs="Arial"/>
          <w:b w:val="0"/>
          <w:bCs/>
          <w:szCs w:val="21"/>
          <w:highlight w:val="none"/>
          <w:lang w:eastAsia="zh-CN"/>
        </w:rPr>
        <w:t>通过分析研判宏观经济走势，以及货币政策、财政政策的变化，结合利息周期变化、市场利率变化趋势等因素，采用资产配置策略、利率预期策略、利差交易、信用价差交易及短期利率波动等固定收益投资和交易策略，有效控制组合风险，为投资者提供与风险相匹配的回报，力争实现投资者收益最大化。</w:t>
      </w:r>
    </w:p>
    <w:p>
      <w:pPr>
        <w:adjustRightInd w:val="0"/>
        <w:snapToGrid w:val="0"/>
        <w:spacing w:line="320" w:lineRule="exact"/>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1.认购</w:t>
      </w:r>
      <w:r>
        <w:rPr>
          <w:rFonts w:ascii="微软雅黑" w:hAnsi="微软雅黑" w:eastAsia="微软雅黑"/>
          <w:szCs w:val="21"/>
        </w:rPr>
        <w:t>登记日</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本</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w:t>
      </w:r>
      <w:r>
        <w:rPr>
          <w:rFonts w:ascii="微软雅黑" w:hAnsi="微软雅黑" w:eastAsia="微软雅黑"/>
          <w:szCs w:val="21"/>
        </w:rPr>
        <w:t>年</w:t>
      </w:r>
      <w:r>
        <w:rPr>
          <w:rFonts w:hint="eastAsia" w:ascii="微软雅黑" w:hAnsi="微软雅黑" w:eastAsia="微软雅黑"/>
          <w:szCs w:val="21"/>
        </w:rPr>
        <w:t>5</w:t>
      </w:r>
      <w:r>
        <w:rPr>
          <w:rFonts w:ascii="微软雅黑" w:hAnsi="微软雅黑" w:eastAsia="微软雅黑"/>
          <w:szCs w:val="21"/>
        </w:rPr>
        <w:t>月</w:t>
      </w:r>
      <w:r>
        <w:rPr>
          <w:rFonts w:hint="eastAsia" w:ascii="微软雅黑" w:hAnsi="微软雅黑" w:eastAsia="微软雅黑"/>
          <w:szCs w:val="21"/>
        </w:rPr>
        <w:t>12</w:t>
      </w:r>
      <w:r>
        <w:rPr>
          <w:rFonts w:ascii="微软雅黑" w:hAnsi="微软雅黑" w:eastAsia="微软雅黑"/>
          <w:szCs w:val="21"/>
        </w:rPr>
        <w:t>日进行认购登记。珠海华润银行受理</w:t>
      </w:r>
      <w:r>
        <w:rPr>
          <w:rFonts w:hint="eastAsia" w:ascii="微软雅黑" w:hAnsi="微软雅黑" w:eastAsia="微软雅黑"/>
          <w:szCs w:val="21"/>
          <w:lang w:eastAsia="zh-CN"/>
        </w:rPr>
        <w:t>投资者</w:t>
      </w:r>
      <w:r>
        <w:rPr>
          <w:rFonts w:hint="eastAsia" w:ascii="微软雅黑" w:hAnsi="微软雅黑" w:eastAsia="微软雅黑"/>
          <w:szCs w:val="21"/>
        </w:rPr>
        <w:t>的</w:t>
      </w:r>
      <w:r>
        <w:rPr>
          <w:rFonts w:ascii="微软雅黑" w:hAnsi="微软雅黑" w:eastAsia="微软雅黑"/>
          <w:szCs w:val="21"/>
        </w:rPr>
        <w:t>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认购</w:t>
      </w:r>
      <w:r>
        <w:rPr>
          <w:rFonts w:ascii="微软雅黑" w:hAnsi="微软雅黑" w:eastAsia="微软雅黑"/>
          <w:szCs w:val="21"/>
        </w:rPr>
        <w:t>登记日为</w:t>
      </w:r>
      <w:r>
        <w:rPr>
          <w:rFonts w:hint="eastAsia" w:ascii="微软雅黑" w:hAnsi="微软雅黑" w:eastAsia="微软雅黑"/>
          <w:szCs w:val="21"/>
          <w:lang w:eastAsia="zh-CN"/>
        </w:rPr>
        <w:t>投资者</w:t>
      </w:r>
      <w:r>
        <w:rPr>
          <w:rFonts w:ascii="微软雅黑" w:hAnsi="微软雅黑" w:eastAsia="微软雅黑"/>
          <w:szCs w:val="21"/>
        </w:rPr>
        <w:t>登记认购份额，</w:t>
      </w:r>
      <w:r>
        <w:rPr>
          <w:rFonts w:hint="eastAsia" w:ascii="微软雅黑" w:hAnsi="微软雅黑" w:eastAsia="微软雅黑"/>
          <w:szCs w:val="21"/>
          <w:lang w:eastAsia="zh-CN"/>
        </w:rPr>
        <w:t>投资者</w:t>
      </w:r>
      <w:r>
        <w:rPr>
          <w:rFonts w:ascii="微软雅黑" w:hAnsi="微软雅黑" w:eastAsia="微软雅黑"/>
          <w:szCs w:val="21"/>
        </w:rPr>
        <w:t>应在</w:t>
      </w:r>
      <w:r>
        <w:rPr>
          <w:rFonts w:hint="eastAsia" w:ascii="微软雅黑" w:hAnsi="微软雅黑" w:eastAsia="微软雅黑"/>
          <w:szCs w:val="21"/>
        </w:rPr>
        <w:t>认购登记日</w:t>
      </w:r>
      <w:r>
        <w:rPr>
          <w:rFonts w:ascii="微软雅黑" w:hAnsi="微软雅黑" w:eastAsia="微软雅黑"/>
          <w:szCs w:val="21"/>
        </w:rPr>
        <w:t>后及时查询最终成交确认和认购份额</w:t>
      </w:r>
      <w:r>
        <w:rPr>
          <w:rFonts w:hint="eastAsia" w:ascii="微软雅黑" w:hAnsi="微软雅黑" w:eastAsia="微软雅黑"/>
          <w:szCs w:val="21"/>
        </w:rPr>
        <w:t>等</w:t>
      </w:r>
      <w:r>
        <w:rPr>
          <w:rFonts w:ascii="微软雅黑" w:hAnsi="微软雅黑" w:eastAsia="微软雅黑"/>
          <w:szCs w:val="21"/>
        </w:rPr>
        <w:t>情况</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认购撤单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lang w:eastAsia="zh-CN"/>
        </w:rPr>
        <w:t>投资者</w:t>
      </w:r>
      <w:r>
        <w:rPr>
          <w:rFonts w:ascii="微软雅黑" w:hAnsi="微软雅黑" w:eastAsia="微软雅黑"/>
          <w:szCs w:val="21"/>
        </w:rPr>
        <w:t>多次认购的情况，</w:t>
      </w:r>
      <w:r>
        <w:rPr>
          <w:rFonts w:hint="eastAsia" w:ascii="微软雅黑" w:hAnsi="微软雅黑" w:eastAsia="微软雅黑"/>
          <w:szCs w:val="21"/>
          <w:lang w:eastAsia="zh-CN"/>
        </w:rPr>
        <w:t>投资者</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3.认购期利息</w:t>
      </w:r>
    </w:p>
    <w:p>
      <w:pPr>
        <w:spacing w:line="320" w:lineRule="exact"/>
        <w:ind w:firstLine="420" w:firstLineChars="200"/>
        <w:rPr>
          <w:rFonts w:ascii="微软雅黑" w:hAnsi="微软雅黑" w:eastAsia="微软雅黑"/>
        </w:rPr>
      </w:pPr>
      <w:r>
        <w:rPr>
          <w:rFonts w:hint="eastAsia" w:ascii="微软雅黑" w:hAnsi="微软雅黑" w:eastAsia="微软雅黑"/>
          <w:szCs w:val="21"/>
          <w:lang w:eastAsia="zh-CN"/>
        </w:rPr>
        <w:t>投资者</w:t>
      </w:r>
      <w:r>
        <w:rPr>
          <w:rFonts w:hint="eastAsia" w:ascii="微软雅黑" w:hAnsi="微软雅黑" w:eastAsia="微软雅黑"/>
          <w:szCs w:val="21"/>
        </w:rPr>
        <w:t>认购成功后资金将被冻结，但仍按</w:t>
      </w:r>
      <w:r>
        <w:rPr>
          <w:rFonts w:hint="eastAsia" w:ascii="微软雅黑" w:hAnsi="微软雅黑" w:eastAsia="微软雅黑"/>
        </w:rPr>
        <w:t>照珠海华润银行公布的活期存款利率</w:t>
      </w:r>
      <w:r>
        <w:rPr>
          <w:rFonts w:ascii="微软雅黑" w:hAnsi="微软雅黑" w:eastAsia="微软雅黑"/>
          <w:szCs w:val="21"/>
        </w:rPr>
        <w:t>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hint="eastAsia" w:ascii="微软雅黑" w:hAnsi="微软雅黑" w:eastAsia="微软雅黑"/>
        </w:rPr>
        <w:t>如认购不成功，被冻结的理财资金在产品原定认购期结束后的3个工作日内解冻；如认购成功，被冻结的理财资金划转至产品募集账户。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珠海华润银行有权提前结束认购或延长认购期，产品成立日将相应进行调整，产品提前成立或延长认购期时珠海华润银行将在官网或其他渠道发布公告，产品最终发行量以实际募集金额为准。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w:t>
      </w:r>
      <w:r>
        <w:rPr>
          <w:rFonts w:hint="eastAsia" w:ascii="微软雅黑" w:hAnsi="微软雅黑" w:eastAsia="微软雅黑"/>
          <w:szCs w:val="21"/>
          <w:lang w:eastAsia="zh-CN"/>
        </w:rPr>
        <w:t>投资者</w:t>
      </w:r>
      <w:r>
        <w:rPr>
          <w:rFonts w:hint="eastAsia" w:ascii="微软雅黑" w:hAnsi="微软雅黑" w:eastAsia="微软雅黑"/>
          <w:szCs w:val="21"/>
        </w:rPr>
        <w:t>被冻结的认购资金在</w:t>
      </w:r>
      <w:r>
        <w:rPr>
          <w:rFonts w:hint="eastAsia" w:ascii="微软雅黑" w:hAnsi="微软雅黑" w:eastAsia="微软雅黑"/>
        </w:rPr>
        <w:t>产品原定成立日</w:t>
      </w:r>
      <w:r>
        <w:rPr>
          <w:rFonts w:hint="eastAsia" w:ascii="微软雅黑" w:hAnsi="微软雅黑" w:eastAsia="微软雅黑"/>
          <w:szCs w:val="21"/>
        </w:rPr>
        <w:t>后的3个工作日内解冻。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4"/>
        <w:rPr>
          <w:rFonts w:ascii="微软雅黑" w:hAnsi="微软雅黑" w:eastAsia="微软雅黑" w:cs="Arial"/>
          <w:b/>
          <w:szCs w:val="21"/>
        </w:rPr>
      </w:pPr>
      <w:r>
        <w:rPr>
          <w:rFonts w:hint="eastAsia" w:ascii="微软雅黑" w:hAnsi="微软雅黑" w:eastAsia="微软雅黑" w:cs="Arial"/>
          <w:b/>
          <w:szCs w:val="21"/>
        </w:rPr>
        <w:t>四、理财产品申购及赎回</w:t>
      </w:r>
    </w:p>
    <w:p>
      <w:pPr>
        <w:adjustRightInd w:val="0"/>
        <w:snapToGrid w:val="0"/>
        <w:spacing w:line="320" w:lineRule="exact"/>
        <w:ind w:left="454"/>
        <w:rPr>
          <w:rFonts w:ascii="微软雅黑" w:hAnsi="微软雅黑" w:eastAsia="微软雅黑" w:cs="Arial"/>
          <w:b/>
          <w:szCs w:val="21"/>
        </w:rPr>
      </w:pPr>
      <w:r>
        <w:rPr>
          <w:rFonts w:hint="eastAsia" w:ascii="微软雅黑" w:hAnsi="微软雅黑" w:eastAsia="微软雅黑" w:cs="Arial"/>
          <w:b/>
          <w:szCs w:val="21"/>
        </w:rPr>
        <w:t>（一）产品申购</w:t>
      </w:r>
    </w:p>
    <w:p>
      <w:pPr>
        <w:adjustRightInd w:val="0"/>
        <w:snapToGrid w:val="0"/>
        <w:spacing w:line="320" w:lineRule="exact"/>
        <w:ind w:left="454"/>
        <w:rPr>
          <w:rFonts w:ascii="微软雅黑" w:hAnsi="微软雅黑" w:eastAsia="微软雅黑" w:cs="Arial"/>
          <w:szCs w:val="21"/>
        </w:rPr>
      </w:pPr>
      <w:r>
        <w:rPr>
          <w:rFonts w:ascii="微软雅黑" w:hAnsi="微软雅黑" w:eastAsia="微软雅黑" w:cs="Arial"/>
          <w:szCs w:val="21"/>
        </w:rPr>
        <w:t>1.</w:t>
      </w:r>
      <w:r>
        <w:rPr>
          <w:rFonts w:hint="eastAsia" w:ascii="微软雅黑" w:hAnsi="微软雅黑" w:eastAsia="微软雅黑" w:cs="Arial"/>
          <w:szCs w:val="21"/>
        </w:rPr>
        <w:t>申购确认规则</w:t>
      </w:r>
    </w:p>
    <w:p>
      <w:pPr>
        <w:adjustRightInd w:val="0"/>
        <w:snapToGrid w:val="0"/>
        <w:spacing w:line="320" w:lineRule="exact"/>
        <w:ind w:left="454"/>
        <w:rPr>
          <w:rFonts w:hint="eastAsia" w:ascii="微软雅黑" w:hAnsi="微软雅黑" w:eastAsia="微软雅黑" w:cs="Arial"/>
          <w:szCs w:val="21"/>
          <w:lang w:eastAsia="zh-CN"/>
        </w:rPr>
      </w:pPr>
      <w:r>
        <w:rPr>
          <w:rFonts w:hint="eastAsia" w:ascii="微软雅黑" w:hAnsi="微软雅黑" w:eastAsia="微软雅黑" w:cs="Arial"/>
          <w:szCs w:val="21"/>
          <w:lang w:eastAsia="zh-CN"/>
        </w:rPr>
        <w:t>对于投资者提出的申购申请，珠海华润银行将按照以下方式确认申购申请的有效性：</w:t>
      </w:r>
    </w:p>
    <w:tbl>
      <w:tblPr>
        <w:tblStyle w:val="6"/>
        <w:tblW w:w="8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3"/>
        <w:gridCol w:w="3758"/>
        <w:gridCol w:w="2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3" w:type="dxa"/>
            <w:noWrap w:val="0"/>
            <w:vAlign w:val="top"/>
          </w:tcPr>
          <w:p>
            <w:pPr>
              <w:adjustRightInd w:val="0"/>
              <w:snapToGrid w:val="0"/>
              <w:spacing w:line="320" w:lineRule="exact"/>
              <w:jc w:val="center"/>
              <w:rPr>
                <w:rFonts w:hint="eastAsia" w:ascii="微软雅黑" w:hAnsi="微软雅黑" w:eastAsia="微软雅黑" w:cs="Arial"/>
                <w:szCs w:val="21"/>
                <w:vertAlign w:val="baseline"/>
                <w:lang w:eastAsia="zh-CN"/>
              </w:rPr>
            </w:pPr>
            <w:r>
              <w:rPr>
                <w:rFonts w:hint="eastAsia" w:ascii="微软雅黑" w:hAnsi="微软雅黑" w:eastAsia="微软雅黑" w:cs="Arial"/>
                <w:szCs w:val="21"/>
                <w:vertAlign w:val="baseline"/>
                <w:lang w:eastAsia="zh-CN"/>
              </w:rPr>
              <w:t>申购申请时间</w:t>
            </w:r>
          </w:p>
        </w:tc>
        <w:tc>
          <w:tcPr>
            <w:tcW w:w="3758" w:type="dxa"/>
            <w:noWrap w:val="0"/>
            <w:vAlign w:val="top"/>
          </w:tcPr>
          <w:p>
            <w:pPr>
              <w:adjustRightInd w:val="0"/>
              <w:snapToGrid w:val="0"/>
              <w:spacing w:line="320" w:lineRule="exact"/>
              <w:jc w:val="center"/>
              <w:rPr>
                <w:rFonts w:hint="eastAsia" w:ascii="微软雅黑" w:hAnsi="微软雅黑" w:eastAsia="微软雅黑" w:cs="Arial"/>
                <w:szCs w:val="21"/>
                <w:vertAlign w:val="baseline"/>
                <w:lang w:eastAsia="zh-CN"/>
              </w:rPr>
            </w:pPr>
            <w:r>
              <w:rPr>
                <w:rFonts w:hint="eastAsia" w:ascii="微软雅黑" w:hAnsi="微软雅黑" w:eastAsia="微软雅黑" w:cs="Arial"/>
                <w:szCs w:val="21"/>
                <w:vertAlign w:val="baseline"/>
                <w:lang w:eastAsia="zh-CN"/>
              </w:rPr>
              <w:t>申购确认方式</w:t>
            </w:r>
          </w:p>
        </w:tc>
        <w:tc>
          <w:tcPr>
            <w:tcW w:w="2750" w:type="dxa"/>
            <w:noWrap w:val="0"/>
            <w:vAlign w:val="top"/>
          </w:tcPr>
          <w:p>
            <w:pPr>
              <w:adjustRightInd w:val="0"/>
              <w:snapToGrid w:val="0"/>
              <w:spacing w:line="320" w:lineRule="exact"/>
              <w:jc w:val="center"/>
              <w:rPr>
                <w:rFonts w:hint="eastAsia" w:ascii="微软雅黑" w:hAnsi="微软雅黑" w:eastAsia="微软雅黑" w:cs="Arial"/>
                <w:szCs w:val="21"/>
                <w:vertAlign w:val="baseline"/>
                <w:lang w:eastAsia="zh-CN"/>
              </w:rPr>
            </w:pPr>
            <w:r>
              <w:rPr>
                <w:rFonts w:hint="eastAsia" w:ascii="微软雅黑" w:hAnsi="微软雅黑" w:eastAsia="微软雅黑" w:cs="Arial"/>
                <w:szCs w:val="21"/>
                <w:vertAlign w:val="baseline"/>
                <w:lang w:eastAsia="zh-CN"/>
              </w:rPr>
              <w:t>申购确认日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3" w:type="dxa"/>
            <w:noWrap w:val="0"/>
            <w:vAlign w:val="top"/>
          </w:tcPr>
          <w:p>
            <w:pPr>
              <w:adjustRightInd w:val="0"/>
              <w:snapToGrid w:val="0"/>
              <w:spacing w:line="320" w:lineRule="exact"/>
              <w:jc w:val="center"/>
              <w:rPr>
                <w:rFonts w:hint="eastAsia" w:ascii="微软雅黑" w:hAnsi="微软雅黑" w:eastAsia="微软雅黑" w:cs="Arial"/>
                <w:szCs w:val="21"/>
                <w:vertAlign w:val="baseline"/>
                <w:lang w:val="en-US" w:eastAsia="zh-CN"/>
              </w:rPr>
            </w:pPr>
            <w:r>
              <w:rPr>
                <w:rFonts w:hint="eastAsia" w:ascii="微软雅黑" w:hAnsi="微软雅黑" w:eastAsia="微软雅黑" w:cs="Arial"/>
                <w:szCs w:val="21"/>
                <w:vertAlign w:val="baseline"/>
                <w:lang w:val="en-US" w:eastAsia="zh-CN"/>
              </w:rPr>
              <w:t>T日00:00-15:00</w:t>
            </w:r>
          </w:p>
          <w:p>
            <w:pPr>
              <w:adjustRightInd w:val="0"/>
              <w:snapToGrid w:val="0"/>
              <w:spacing w:line="320" w:lineRule="exact"/>
              <w:jc w:val="center"/>
              <w:rPr>
                <w:rFonts w:hint="default" w:ascii="微软雅黑" w:hAnsi="微软雅黑" w:eastAsia="微软雅黑" w:cs="Arial"/>
                <w:szCs w:val="21"/>
                <w:vertAlign w:val="baseline"/>
                <w:lang w:val="en-US" w:eastAsia="zh-CN"/>
              </w:rPr>
            </w:pPr>
            <w:r>
              <w:rPr>
                <w:rFonts w:hint="eastAsia" w:ascii="微软雅黑" w:hAnsi="微软雅黑" w:eastAsia="微软雅黑" w:cs="Arial"/>
                <w:szCs w:val="21"/>
                <w:vertAlign w:val="baseline"/>
                <w:lang w:val="en-US" w:eastAsia="zh-CN"/>
              </w:rPr>
              <w:t>（T为开放日）</w:t>
            </w:r>
          </w:p>
        </w:tc>
        <w:tc>
          <w:tcPr>
            <w:tcW w:w="3758" w:type="dxa"/>
            <w:noWrap w:val="0"/>
            <w:vAlign w:val="top"/>
          </w:tcPr>
          <w:p>
            <w:pPr>
              <w:adjustRightInd w:val="0"/>
              <w:snapToGrid w:val="0"/>
              <w:spacing w:line="320" w:lineRule="exact"/>
              <w:jc w:val="left"/>
              <w:rPr>
                <w:rFonts w:hint="default" w:ascii="微软雅黑" w:hAnsi="微软雅黑" w:eastAsia="微软雅黑" w:cs="Arial"/>
                <w:szCs w:val="21"/>
                <w:vertAlign w:val="baseline"/>
                <w:lang w:val="en-US" w:eastAsia="zh-CN"/>
              </w:rPr>
            </w:pPr>
            <w:r>
              <w:rPr>
                <w:rFonts w:hint="eastAsia" w:ascii="微软雅黑" w:hAnsi="微软雅黑" w:eastAsia="微软雅黑" w:cs="Arial"/>
                <w:szCs w:val="21"/>
                <w:vertAlign w:val="baseline"/>
                <w:lang w:val="en-US" w:eastAsia="zh-CN"/>
              </w:rPr>
              <w:t>投资者的份额申购申请视为T日的申购交易，珠海华润银行于T日后第1个开放日对投资者的申购交易的有效性进行确认。</w:t>
            </w:r>
          </w:p>
        </w:tc>
        <w:tc>
          <w:tcPr>
            <w:tcW w:w="2750" w:type="dxa"/>
            <w:noWrap w:val="0"/>
            <w:vAlign w:val="top"/>
          </w:tcPr>
          <w:p>
            <w:pPr>
              <w:adjustRightInd w:val="0"/>
              <w:snapToGrid w:val="0"/>
              <w:spacing w:line="320" w:lineRule="exact"/>
              <w:jc w:val="center"/>
              <w:rPr>
                <w:rFonts w:hint="eastAsia" w:ascii="微软雅黑" w:hAnsi="微软雅黑" w:eastAsia="微软雅黑" w:cs="Arial"/>
                <w:szCs w:val="21"/>
                <w:vertAlign w:val="baseline"/>
                <w:lang w:val="en-US" w:eastAsia="zh-CN"/>
              </w:rPr>
            </w:pPr>
            <w:r>
              <w:rPr>
                <w:rFonts w:hint="eastAsia" w:ascii="微软雅黑" w:hAnsi="微软雅黑" w:eastAsia="微软雅黑" w:cs="Arial"/>
                <w:szCs w:val="21"/>
                <w:vertAlign w:val="baseline"/>
                <w:lang w:val="en-US" w:eastAsia="zh-CN"/>
              </w:rPr>
              <w:t>T+1日，</w:t>
            </w:r>
          </w:p>
          <w:p>
            <w:pPr>
              <w:adjustRightInd w:val="0"/>
              <w:snapToGrid w:val="0"/>
              <w:spacing w:line="320" w:lineRule="exact"/>
              <w:jc w:val="center"/>
              <w:rPr>
                <w:rFonts w:hint="eastAsia" w:ascii="微软雅黑" w:hAnsi="微软雅黑" w:eastAsia="微软雅黑" w:cs="Arial"/>
                <w:szCs w:val="21"/>
                <w:vertAlign w:val="baseline"/>
                <w:lang w:val="en-US" w:eastAsia="zh-CN"/>
              </w:rPr>
            </w:pPr>
            <w:r>
              <w:rPr>
                <w:rFonts w:hint="eastAsia" w:ascii="微软雅黑" w:hAnsi="微软雅黑" w:eastAsia="微软雅黑" w:cs="Arial"/>
                <w:szCs w:val="21"/>
                <w:vertAlign w:val="baseline"/>
                <w:lang w:val="en-US" w:eastAsia="zh-CN"/>
              </w:rPr>
              <w:t>并以产品管理人确认的份额为准。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3" w:type="dxa"/>
            <w:noWrap w:val="0"/>
            <w:vAlign w:val="top"/>
          </w:tcPr>
          <w:p>
            <w:pPr>
              <w:adjustRightInd w:val="0"/>
              <w:snapToGrid w:val="0"/>
              <w:spacing w:line="320" w:lineRule="exact"/>
              <w:jc w:val="center"/>
              <w:rPr>
                <w:rFonts w:hint="eastAsia" w:ascii="微软雅黑" w:hAnsi="微软雅黑" w:eastAsia="微软雅黑" w:cs="Arial"/>
                <w:szCs w:val="21"/>
                <w:vertAlign w:val="baseline"/>
                <w:lang w:val="en-US" w:eastAsia="zh-CN"/>
              </w:rPr>
            </w:pPr>
            <w:r>
              <w:rPr>
                <w:rFonts w:hint="eastAsia" w:ascii="微软雅黑" w:hAnsi="微软雅黑" w:eastAsia="微软雅黑" w:cs="Arial"/>
                <w:szCs w:val="21"/>
                <w:vertAlign w:val="baseline"/>
                <w:lang w:val="en-US" w:eastAsia="zh-CN"/>
              </w:rPr>
              <w:t>T日15:00-24:00</w:t>
            </w:r>
          </w:p>
          <w:p>
            <w:pPr>
              <w:adjustRightInd w:val="0"/>
              <w:snapToGrid w:val="0"/>
              <w:spacing w:line="320" w:lineRule="exact"/>
              <w:jc w:val="center"/>
              <w:rPr>
                <w:rFonts w:hint="eastAsia" w:ascii="微软雅黑" w:hAnsi="微软雅黑" w:eastAsia="微软雅黑" w:cs="Arial"/>
                <w:szCs w:val="21"/>
                <w:vertAlign w:val="baseline"/>
              </w:rPr>
            </w:pPr>
            <w:r>
              <w:rPr>
                <w:rFonts w:hint="eastAsia" w:ascii="微软雅黑" w:hAnsi="微软雅黑" w:eastAsia="微软雅黑" w:cs="Arial"/>
                <w:szCs w:val="21"/>
                <w:vertAlign w:val="baseline"/>
                <w:lang w:val="en-US" w:eastAsia="zh-CN"/>
              </w:rPr>
              <w:t>（T为开放日）</w:t>
            </w:r>
          </w:p>
        </w:tc>
        <w:tc>
          <w:tcPr>
            <w:tcW w:w="3758" w:type="dxa"/>
            <w:noWrap w:val="0"/>
            <w:vAlign w:val="top"/>
          </w:tcPr>
          <w:p>
            <w:pPr>
              <w:adjustRightInd w:val="0"/>
              <w:snapToGrid w:val="0"/>
              <w:spacing w:line="320" w:lineRule="exact"/>
              <w:jc w:val="left"/>
              <w:rPr>
                <w:rFonts w:hint="eastAsia" w:ascii="微软雅黑" w:hAnsi="微软雅黑" w:eastAsia="微软雅黑" w:cs="Arial"/>
                <w:szCs w:val="21"/>
                <w:vertAlign w:val="baseline"/>
              </w:rPr>
            </w:pPr>
            <w:r>
              <w:rPr>
                <w:rFonts w:hint="eastAsia" w:ascii="微软雅黑" w:hAnsi="微软雅黑" w:eastAsia="微软雅黑" w:cs="Arial"/>
                <w:szCs w:val="21"/>
                <w:vertAlign w:val="baseline"/>
                <w:lang w:val="en-US" w:eastAsia="zh-CN"/>
              </w:rPr>
              <w:t>投资者的份额申购申请视为T日后第1个开放日的申购交易，珠海华润银行于T日后第2个开放日对投资者的申购交易的有效性进行确认。</w:t>
            </w:r>
          </w:p>
        </w:tc>
        <w:tc>
          <w:tcPr>
            <w:tcW w:w="2750" w:type="dxa"/>
            <w:noWrap w:val="0"/>
            <w:vAlign w:val="top"/>
          </w:tcPr>
          <w:p>
            <w:pPr>
              <w:adjustRightInd w:val="0"/>
              <w:snapToGrid w:val="0"/>
              <w:spacing w:line="320" w:lineRule="exact"/>
              <w:jc w:val="center"/>
              <w:rPr>
                <w:rFonts w:hint="eastAsia" w:ascii="微软雅黑" w:hAnsi="微软雅黑" w:eastAsia="微软雅黑" w:cs="Arial"/>
                <w:szCs w:val="21"/>
                <w:vertAlign w:val="baseline"/>
                <w:lang w:val="en-US" w:eastAsia="zh-CN"/>
              </w:rPr>
            </w:pPr>
            <w:r>
              <w:rPr>
                <w:rFonts w:hint="eastAsia" w:ascii="微软雅黑" w:hAnsi="微软雅黑" w:eastAsia="微软雅黑" w:cs="Arial"/>
                <w:szCs w:val="21"/>
                <w:vertAlign w:val="baseline"/>
                <w:lang w:val="en-US" w:eastAsia="zh-CN"/>
              </w:rPr>
              <w:t>T+2日，</w:t>
            </w:r>
          </w:p>
          <w:p>
            <w:pPr>
              <w:adjustRightInd w:val="0"/>
              <w:snapToGrid w:val="0"/>
              <w:spacing w:line="320" w:lineRule="exact"/>
              <w:jc w:val="center"/>
              <w:rPr>
                <w:rFonts w:hint="eastAsia" w:ascii="微软雅黑" w:hAnsi="微软雅黑" w:eastAsia="微软雅黑" w:cs="Arial"/>
                <w:szCs w:val="21"/>
                <w:vertAlign w:val="baseline"/>
                <w:lang w:val="en-US" w:eastAsia="zh-CN"/>
              </w:rPr>
            </w:pPr>
            <w:r>
              <w:rPr>
                <w:rFonts w:hint="eastAsia" w:ascii="微软雅黑" w:hAnsi="微软雅黑" w:eastAsia="微软雅黑" w:cs="Arial"/>
                <w:szCs w:val="21"/>
                <w:vertAlign w:val="baseline"/>
                <w:lang w:val="en-US" w:eastAsia="zh-CN"/>
              </w:rPr>
              <w:t>并以产品管理人确认的份额为准。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3" w:type="dxa"/>
            <w:noWrap w:val="0"/>
            <w:vAlign w:val="top"/>
          </w:tcPr>
          <w:p>
            <w:pPr>
              <w:adjustRightInd w:val="0"/>
              <w:snapToGrid w:val="0"/>
              <w:spacing w:line="320" w:lineRule="exact"/>
              <w:jc w:val="center"/>
              <w:rPr>
                <w:rFonts w:hint="eastAsia" w:ascii="微软雅黑" w:hAnsi="微软雅黑" w:eastAsia="微软雅黑" w:cs="Arial"/>
                <w:szCs w:val="21"/>
                <w:vertAlign w:val="baseline"/>
                <w:lang w:val="en-US" w:eastAsia="zh-CN"/>
              </w:rPr>
            </w:pPr>
            <w:r>
              <w:rPr>
                <w:rFonts w:hint="eastAsia" w:ascii="微软雅黑" w:hAnsi="微软雅黑" w:eastAsia="微软雅黑" w:cs="Arial"/>
                <w:szCs w:val="21"/>
                <w:vertAlign w:val="baseline"/>
                <w:lang w:val="en-US" w:eastAsia="zh-CN"/>
              </w:rPr>
              <w:t>T日0:00-24:00</w:t>
            </w:r>
          </w:p>
          <w:p>
            <w:pPr>
              <w:adjustRightInd w:val="0"/>
              <w:snapToGrid w:val="0"/>
              <w:spacing w:line="320" w:lineRule="exact"/>
              <w:jc w:val="center"/>
              <w:rPr>
                <w:rFonts w:hint="default" w:ascii="微软雅黑" w:hAnsi="微软雅黑" w:eastAsia="微软雅黑" w:cs="Arial"/>
                <w:szCs w:val="21"/>
                <w:vertAlign w:val="baseline"/>
                <w:lang w:val="en-US" w:eastAsia="zh-CN"/>
              </w:rPr>
            </w:pPr>
            <w:r>
              <w:rPr>
                <w:rFonts w:hint="eastAsia" w:ascii="微软雅黑" w:hAnsi="微软雅黑" w:eastAsia="微软雅黑" w:cs="Arial"/>
                <w:szCs w:val="21"/>
                <w:vertAlign w:val="baseline"/>
                <w:lang w:val="en-US" w:eastAsia="zh-CN"/>
              </w:rPr>
              <w:t>（T为非开放日）</w:t>
            </w:r>
          </w:p>
        </w:tc>
        <w:tc>
          <w:tcPr>
            <w:tcW w:w="3758" w:type="dxa"/>
            <w:noWrap w:val="0"/>
            <w:vAlign w:val="top"/>
          </w:tcPr>
          <w:p>
            <w:pPr>
              <w:adjustRightInd w:val="0"/>
              <w:snapToGrid w:val="0"/>
              <w:spacing w:line="320" w:lineRule="exact"/>
              <w:jc w:val="left"/>
              <w:rPr>
                <w:rFonts w:hint="eastAsia" w:ascii="微软雅黑" w:hAnsi="微软雅黑" w:eastAsia="微软雅黑" w:cs="Arial"/>
                <w:szCs w:val="21"/>
                <w:vertAlign w:val="baseline"/>
              </w:rPr>
            </w:pPr>
            <w:r>
              <w:rPr>
                <w:rFonts w:hint="eastAsia" w:ascii="微软雅黑" w:hAnsi="微软雅黑" w:eastAsia="微软雅黑" w:cs="Arial"/>
                <w:szCs w:val="21"/>
                <w:vertAlign w:val="baseline"/>
                <w:lang w:val="en-US" w:eastAsia="zh-CN"/>
              </w:rPr>
              <w:t>投资者的份额申购申请视为T日后第1个开放日的申购交易，珠海华润银行于T日后第2个开放日对投资者的申购交易的有效性进行确认。</w:t>
            </w:r>
          </w:p>
        </w:tc>
        <w:tc>
          <w:tcPr>
            <w:tcW w:w="2750" w:type="dxa"/>
            <w:noWrap w:val="0"/>
            <w:vAlign w:val="top"/>
          </w:tcPr>
          <w:p>
            <w:pPr>
              <w:adjustRightInd w:val="0"/>
              <w:snapToGrid w:val="0"/>
              <w:spacing w:line="320" w:lineRule="exact"/>
              <w:jc w:val="center"/>
              <w:rPr>
                <w:rFonts w:hint="eastAsia" w:ascii="微软雅黑" w:hAnsi="微软雅黑" w:eastAsia="微软雅黑" w:cs="Arial"/>
                <w:szCs w:val="21"/>
                <w:vertAlign w:val="baseline"/>
                <w:lang w:val="en-US" w:eastAsia="zh-CN"/>
              </w:rPr>
            </w:pPr>
            <w:r>
              <w:rPr>
                <w:rFonts w:hint="eastAsia" w:ascii="微软雅黑" w:hAnsi="微软雅黑" w:eastAsia="微软雅黑" w:cs="Arial"/>
                <w:szCs w:val="21"/>
                <w:vertAlign w:val="baseline"/>
                <w:lang w:val="en-US" w:eastAsia="zh-CN"/>
              </w:rPr>
              <w:t>T+2日，</w:t>
            </w:r>
          </w:p>
          <w:p>
            <w:pPr>
              <w:adjustRightInd w:val="0"/>
              <w:snapToGrid w:val="0"/>
              <w:spacing w:line="320" w:lineRule="exact"/>
              <w:jc w:val="center"/>
              <w:rPr>
                <w:rFonts w:hint="default" w:ascii="微软雅黑" w:hAnsi="微软雅黑" w:eastAsia="微软雅黑" w:cs="Arial"/>
                <w:szCs w:val="21"/>
                <w:vertAlign w:val="baseline"/>
                <w:lang w:val="en-US" w:eastAsia="zh-CN"/>
              </w:rPr>
            </w:pPr>
            <w:r>
              <w:rPr>
                <w:rFonts w:hint="eastAsia" w:ascii="微软雅黑" w:hAnsi="微软雅黑" w:eastAsia="微软雅黑" w:cs="Arial"/>
                <w:szCs w:val="21"/>
                <w:vertAlign w:val="baseline"/>
                <w:lang w:val="en-US" w:eastAsia="zh-CN"/>
              </w:rPr>
              <w:t>并以产品管理人确认的份额为准。</w:t>
            </w:r>
          </w:p>
        </w:tc>
      </w:tr>
    </w:tbl>
    <w:p>
      <w:pPr>
        <w:spacing w:line="320" w:lineRule="exact"/>
        <w:ind w:firstLine="420" w:firstLineChars="200"/>
        <w:rPr>
          <w:rFonts w:ascii="微软雅黑" w:hAnsi="微软雅黑" w:eastAsia="微软雅黑" w:cs="Arial"/>
          <w:szCs w:val="21"/>
        </w:rPr>
      </w:pPr>
      <w:r>
        <w:rPr>
          <w:rFonts w:hint="eastAsia" w:ascii="微软雅黑" w:hAnsi="微软雅黑" w:eastAsia="微软雅黑" w:cs="Arial"/>
          <w:szCs w:val="21"/>
        </w:rPr>
        <w:t>2.申购撤单</w:t>
      </w:r>
    </w:p>
    <w:p>
      <w:pPr>
        <w:spacing w:line="320" w:lineRule="exact"/>
        <w:ind w:firstLine="420" w:firstLineChars="200"/>
        <w:rPr>
          <w:rFonts w:ascii="微软雅黑" w:hAnsi="微软雅黑" w:eastAsia="微软雅黑"/>
          <w:szCs w:val="21"/>
        </w:rPr>
      </w:pPr>
      <w:r>
        <w:rPr>
          <w:rFonts w:hint="eastAsia" w:ascii="微软雅黑" w:hAnsi="微软雅黑" w:eastAsia="微软雅黑" w:cs="Arial"/>
          <w:szCs w:val="21"/>
          <w:lang w:eastAsia="zh-CN"/>
        </w:rPr>
        <w:t>投资者</w:t>
      </w:r>
      <w:r>
        <w:rPr>
          <w:rFonts w:hint="eastAsia" w:ascii="微软雅黑" w:hAnsi="微软雅黑" w:eastAsia="微软雅黑" w:cs="Arial"/>
          <w:szCs w:val="21"/>
        </w:rPr>
        <w:t>在开放时间内申购</w:t>
      </w:r>
      <w:r>
        <w:rPr>
          <w:rFonts w:hint="eastAsia" w:ascii="微软雅黑" w:hAnsi="微软雅黑" w:eastAsia="微软雅黑" w:cs="Arial"/>
          <w:szCs w:val="21"/>
          <w:lang w:eastAsia="zh-CN"/>
        </w:rPr>
        <w:t>交易可于当天</w:t>
      </w:r>
      <w:r>
        <w:rPr>
          <w:rFonts w:hint="eastAsia" w:ascii="微软雅黑" w:hAnsi="微软雅黑" w:eastAsia="微软雅黑" w:cs="Arial"/>
          <w:szCs w:val="21"/>
          <w:lang w:val="en-US" w:eastAsia="zh-CN"/>
        </w:rPr>
        <w:t>15:00前撤销，15:00后不得撤销</w:t>
      </w:r>
      <w:r>
        <w:rPr>
          <w:rFonts w:hint="eastAsia" w:ascii="微软雅黑" w:hAnsi="微软雅黑" w:eastAsia="微软雅黑" w:cs="Arial"/>
          <w:szCs w:val="21"/>
        </w:rPr>
        <w:t>。</w:t>
      </w:r>
      <w:r>
        <w:rPr>
          <w:rFonts w:hint="eastAsia" w:ascii="微软雅黑" w:hAnsi="微软雅黑" w:eastAsia="微软雅黑" w:cs="Arial"/>
          <w:szCs w:val="21"/>
          <w:lang w:eastAsia="zh-CN"/>
        </w:rPr>
        <w:t>投资者</w:t>
      </w:r>
      <w:r>
        <w:rPr>
          <w:rFonts w:hint="eastAsia" w:ascii="微软雅黑" w:hAnsi="微软雅黑" w:eastAsia="微软雅黑" w:cs="Arial"/>
          <w:szCs w:val="21"/>
        </w:rPr>
        <w:t>在非开放时间内提出的申购申请，可在申购</w:t>
      </w:r>
      <w:r>
        <w:rPr>
          <w:rFonts w:hint="eastAsia" w:ascii="微软雅黑" w:hAnsi="微软雅黑" w:eastAsia="微软雅黑" w:cs="Arial"/>
          <w:szCs w:val="21"/>
          <w:lang w:eastAsia="zh-CN"/>
        </w:rPr>
        <w:t>申请日后的第</w:t>
      </w:r>
      <w:r>
        <w:rPr>
          <w:rFonts w:hint="eastAsia" w:ascii="微软雅黑" w:hAnsi="微软雅黑" w:eastAsia="微软雅黑" w:cs="Arial"/>
          <w:szCs w:val="21"/>
          <w:lang w:val="en-US" w:eastAsia="zh-CN"/>
        </w:rPr>
        <w:t>1个开放日15:00前撤销，15:00后不得撤销。</w:t>
      </w:r>
      <w:r>
        <w:rPr>
          <w:rFonts w:ascii="微软雅黑" w:hAnsi="微软雅黑" w:eastAsia="微软雅黑"/>
          <w:szCs w:val="21"/>
        </w:rPr>
        <w:t>部分撤销只适用于</w:t>
      </w:r>
      <w:r>
        <w:rPr>
          <w:rFonts w:hint="eastAsia" w:ascii="微软雅黑" w:hAnsi="微软雅黑" w:eastAsia="微软雅黑"/>
          <w:szCs w:val="21"/>
          <w:lang w:eastAsia="zh-CN"/>
        </w:rPr>
        <w:t>投资者</w:t>
      </w:r>
      <w:r>
        <w:rPr>
          <w:rFonts w:ascii="微软雅黑" w:hAnsi="微软雅黑" w:eastAsia="微软雅黑"/>
          <w:szCs w:val="21"/>
        </w:rPr>
        <w:t>多次</w:t>
      </w:r>
      <w:r>
        <w:rPr>
          <w:rFonts w:hint="eastAsia" w:ascii="微软雅黑" w:hAnsi="微软雅黑" w:eastAsia="微软雅黑"/>
          <w:szCs w:val="21"/>
        </w:rPr>
        <w:t>申购</w:t>
      </w:r>
      <w:r>
        <w:rPr>
          <w:rFonts w:ascii="微软雅黑" w:hAnsi="微软雅黑" w:eastAsia="微软雅黑"/>
          <w:szCs w:val="21"/>
        </w:rPr>
        <w:t>的情况，</w:t>
      </w:r>
      <w:r>
        <w:rPr>
          <w:rFonts w:hint="eastAsia" w:ascii="微软雅黑" w:hAnsi="微软雅黑" w:eastAsia="微软雅黑"/>
          <w:szCs w:val="21"/>
          <w:lang w:eastAsia="zh-CN"/>
        </w:rPr>
        <w:t>投资者</w:t>
      </w:r>
      <w:r>
        <w:rPr>
          <w:rFonts w:ascii="微软雅黑" w:hAnsi="微软雅黑" w:eastAsia="微软雅黑"/>
          <w:szCs w:val="21"/>
        </w:rPr>
        <w:t>必须对应每笔</w:t>
      </w:r>
      <w:r>
        <w:rPr>
          <w:rFonts w:hint="eastAsia" w:ascii="微软雅黑" w:hAnsi="微软雅黑" w:eastAsia="微软雅黑"/>
          <w:szCs w:val="21"/>
        </w:rPr>
        <w:t>申购</w:t>
      </w:r>
      <w:r>
        <w:rPr>
          <w:rFonts w:ascii="微软雅黑" w:hAnsi="微软雅黑" w:eastAsia="微软雅黑"/>
          <w:szCs w:val="21"/>
        </w:rPr>
        <w:t>的份额逐笔撤销</w:t>
      </w:r>
      <w:r>
        <w:rPr>
          <w:rFonts w:hint="eastAsia" w:ascii="微软雅黑" w:hAnsi="微软雅黑" w:eastAsia="微软雅黑"/>
          <w:szCs w:val="21"/>
        </w:rPr>
        <w:t>，</w:t>
      </w:r>
      <w:r>
        <w:rPr>
          <w:rFonts w:ascii="微软雅黑" w:hAnsi="微软雅黑" w:eastAsia="微软雅黑"/>
          <w:szCs w:val="21"/>
        </w:rPr>
        <w:t>部分撤销后</w:t>
      </w:r>
      <w:r>
        <w:rPr>
          <w:rFonts w:hint="eastAsia" w:ascii="微软雅黑" w:hAnsi="微软雅黑" w:eastAsia="微软雅黑"/>
          <w:szCs w:val="21"/>
          <w:lang w:eastAsia="zh-CN"/>
        </w:rPr>
        <w:t>投资者</w:t>
      </w:r>
      <w:r>
        <w:rPr>
          <w:rFonts w:ascii="微软雅黑" w:hAnsi="微软雅黑" w:eastAsia="微软雅黑"/>
          <w:szCs w:val="21"/>
        </w:rPr>
        <w:t>剩余的</w:t>
      </w:r>
      <w:r>
        <w:rPr>
          <w:rFonts w:hint="eastAsia" w:ascii="微软雅黑" w:hAnsi="微软雅黑" w:eastAsia="微软雅黑"/>
          <w:szCs w:val="21"/>
        </w:rPr>
        <w:t>本产品总持有份额不</w:t>
      </w:r>
      <w:r>
        <w:rPr>
          <w:rFonts w:ascii="微软雅黑" w:hAnsi="微软雅黑" w:eastAsia="微软雅黑"/>
          <w:szCs w:val="21"/>
        </w:rPr>
        <w:t>得低于</w:t>
      </w:r>
      <w:r>
        <w:rPr>
          <w:rFonts w:hint="eastAsia" w:ascii="微软雅黑" w:hAnsi="微软雅黑" w:eastAsia="微软雅黑"/>
          <w:szCs w:val="21"/>
          <w:lang w:eastAsia="zh-CN"/>
        </w:rPr>
        <w:t>申购起点</w:t>
      </w:r>
      <w:r>
        <w:rPr>
          <w:rFonts w:hint="eastAsia" w:ascii="微软雅黑" w:hAnsi="微软雅黑" w:eastAsia="微软雅黑"/>
          <w:szCs w:val="21"/>
        </w:rPr>
        <w:t>。</w:t>
      </w:r>
    </w:p>
    <w:p>
      <w:pPr>
        <w:adjustRightInd w:val="0"/>
        <w:snapToGrid w:val="0"/>
        <w:spacing w:line="320" w:lineRule="exact"/>
        <w:ind w:firstLine="420" w:firstLineChars="200"/>
        <w:rPr>
          <w:rFonts w:ascii="微软雅黑" w:hAnsi="微软雅黑" w:eastAsia="微软雅黑" w:cs="Arial"/>
        </w:rPr>
      </w:pPr>
      <w:r>
        <w:rPr>
          <w:rFonts w:hint="eastAsia" w:ascii="微软雅黑" w:hAnsi="微软雅黑" w:eastAsia="微软雅黑" w:cs="Arial"/>
          <w:lang w:val="en-US" w:eastAsia="zh-CN"/>
        </w:rPr>
        <w:t>3</w:t>
      </w:r>
      <w:r>
        <w:rPr>
          <w:rFonts w:hint="eastAsia" w:ascii="微软雅黑" w:hAnsi="微软雅黑" w:eastAsia="微软雅黑" w:cs="Arial"/>
        </w:rPr>
        <w:t>.申购期利息</w:t>
      </w:r>
    </w:p>
    <w:p>
      <w:pPr>
        <w:adjustRightInd w:val="0"/>
        <w:snapToGrid w:val="0"/>
        <w:spacing w:line="320" w:lineRule="exact"/>
        <w:ind w:firstLine="420" w:firstLineChars="200"/>
        <w:rPr>
          <w:rFonts w:ascii="微软雅黑" w:hAnsi="微软雅黑" w:eastAsia="微软雅黑" w:cs="Arial"/>
        </w:rPr>
      </w:pPr>
      <w:r>
        <w:rPr>
          <w:rFonts w:hint="eastAsia" w:ascii="微软雅黑" w:hAnsi="微软雅黑" w:eastAsia="微软雅黑" w:cs="Arial"/>
          <w:szCs w:val="21"/>
        </w:rPr>
        <w:t>如</w:t>
      </w:r>
      <w:r>
        <w:rPr>
          <w:rFonts w:hint="eastAsia" w:ascii="微软雅黑" w:hAnsi="微软雅黑" w:eastAsia="微软雅黑" w:cs="Arial"/>
          <w:szCs w:val="21"/>
          <w:lang w:eastAsia="zh-CN"/>
        </w:rPr>
        <w:t>投资者</w:t>
      </w:r>
      <w:r>
        <w:rPr>
          <w:rFonts w:hint="eastAsia" w:ascii="微软雅黑" w:hAnsi="微软雅黑" w:eastAsia="微软雅黑" w:cs="Arial"/>
          <w:szCs w:val="21"/>
        </w:rPr>
        <w:t>在非开放时间内提出的申购申请，到下一个开放时间内确认申购份额的期间，</w:t>
      </w:r>
      <w:r>
        <w:rPr>
          <w:rFonts w:hint="eastAsia" w:ascii="微软雅黑" w:hAnsi="微软雅黑" w:eastAsia="微软雅黑" w:cs="Arial"/>
        </w:rPr>
        <w:t>珠海华润银行将对</w:t>
      </w:r>
      <w:r>
        <w:rPr>
          <w:rFonts w:hint="eastAsia" w:ascii="微软雅黑" w:hAnsi="微软雅黑" w:eastAsia="微软雅黑" w:cs="Arial"/>
          <w:lang w:eastAsia="zh-CN"/>
        </w:rPr>
        <w:t>投资者</w:t>
      </w:r>
      <w:r>
        <w:rPr>
          <w:rFonts w:hint="eastAsia" w:ascii="微软雅黑" w:hAnsi="微软雅黑" w:eastAsia="微软雅黑" w:cs="Arial"/>
        </w:rPr>
        <w:t>的申购资金进行冻结，</w:t>
      </w:r>
      <w:r>
        <w:rPr>
          <w:rFonts w:hint="eastAsia" w:ascii="微软雅黑" w:hAnsi="微软雅黑" w:eastAsia="微软雅黑" w:cs="Arial"/>
          <w:lang w:eastAsia="zh-CN"/>
        </w:rPr>
        <w:t>投资者</w:t>
      </w:r>
      <w:r>
        <w:rPr>
          <w:rFonts w:hint="eastAsia" w:ascii="微软雅黑" w:hAnsi="微软雅黑" w:eastAsia="微软雅黑" w:cs="Arial"/>
        </w:rPr>
        <w:t>提交申购申请至申购确认日之间按</w:t>
      </w:r>
      <w:r>
        <w:rPr>
          <w:rFonts w:hint="eastAsia" w:ascii="微软雅黑" w:hAnsi="微软雅黑" w:eastAsia="微软雅黑"/>
        </w:rPr>
        <w:t>珠海华润银行公布的活期存款利率</w:t>
      </w:r>
      <w:r>
        <w:rPr>
          <w:rFonts w:hint="eastAsia" w:ascii="微软雅黑" w:hAnsi="微软雅黑" w:eastAsia="微软雅黑" w:cs="Arial"/>
        </w:rPr>
        <w:t>为申购资金计息，所计提的利息不作为产品申购本金。</w:t>
      </w:r>
    </w:p>
    <w:p>
      <w:pPr>
        <w:adjustRightInd w:val="0"/>
        <w:snapToGrid w:val="0"/>
        <w:spacing w:line="320" w:lineRule="exact"/>
        <w:ind w:firstLine="420" w:firstLineChars="200"/>
        <w:rPr>
          <w:rFonts w:ascii="微软雅黑" w:hAnsi="微软雅黑" w:eastAsia="微软雅黑" w:cs="Arial"/>
          <w:b/>
          <w:szCs w:val="21"/>
        </w:rPr>
      </w:pPr>
      <w:r>
        <w:rPr>
          <w:rFonts w:hint="eastAsia" w:ascii="微软雅黑" w:hAnsi="微软雅黑" w:eastAsia="微软雅黑" w:cs="Arial"/>
          <w:b/>
          <w:szCs w:val="21"/>
        </w:rPr>
        <w:t>（二）产品赎回</w:t>
      </w:r>
    </w:p>
    <w:p>
      <w:pPr>
        <w:adjustRightInd w:val="0"/>
        <w:snapToGrid w:val="0"/>
        <w:spacing w:line="320" w:lineRule="exact"/>
        <w:ind w:firstLine="420" w:firstLineChars="200"/>
        <w:rPr>
          <w:rFonts w:hint="eastAsia" w:ascii="微软雅黑" w:hAnsi="微软雅黑" w:eastAsia="微软雅黑" w:cs="Arial"/>
          <w:b w:val="0"/>
          <w:bCs/>
          <w:szCs w:val="21"/>
          <w:lang w:val="en-US" w:eastAsia="zh-CN"/>
        </w:rPr>
      </w:pPr>
      <w:r>
        <w:rPr>
          <w:rFonts w:hint="eastAsia" w:ascii="微软雅黑" w:hAnsi="微软雅黑" w:eastAsia="微软雅黑" w:cs="Arial"/>
          <w:b w:val="0"/>
          <w:bCs/>
          <w:szCs w:val="21"/>
          <w:lang w:val="en-US" w:eastAsia="zh-CN"/>
        </w:rPr>
        <w:t>赎回方式分为快速赎回和普通赎回。其中，快速赎回定义及赎回规则具体见《</w:t>
      </w:r>
      <w:r>
        <w:rPr>
          <w:rFonts w:hint="eastAsia" w:ascii="微软雅黑" w:hAnsi="微软雅黑" w:eastAsia="微软雅黑"/>
          <w:szCs w:val="21"/>
          <w:lang w:val="en-US" w:eastAsia="zh-CN"/>
        </w:rPr>
        <w:t>珠海华润银行润日升理财产品快速赎回服务协议》</w:t>
      </w:r>
      <w:r>
        <w:rPr>
          <w:rFonts w:hint="eastAsia" w:ascii="微软雅黑" w:hAnsi="微软雅黑" w:eastAsia="微软雅黑" w:cs="Arial"/>
          <w:b w:val="0"/>
          <w:bCs/>
          <w:szCs w:val="21"/>
          <w:lang w:val="en-US" w:eastAsia="zh-CN"/>
        </w:rPr>
        <w:t>。</w:t>
      </w:r>
    </w:p>
    <w:p>
      <w:pPr>
        <w:adjustRightInd w:val="0"/>
        <w:snapToGrid w:val="0"/>
        <w:spacing w:line="320" w:lineRule="exact"/>
        <w:ind w:firstLine="420" w:firstLineChars="200"/>
        <w:rPr>
          <w:rFonts w:hint="eastAsia" w:ascii="微软雅黑" w:hAnsi="微软雅黑" w:eastAsia="微软雅黑" w:cs="Arial"/>
          <w:b w:val="0"/>
          <w:bCs/>
          <w:szCs w:val="21"/>
          <w:lang w:val="en-US" w:eastAsia="zh-CN"/>
        </w:rPr>
      </w:pPr>
      <w:r>
        <w:rPr>
          <w:rFonts w:hint="eastAsia" w:ascii="微软雅黑" w:hAnsi="微软雅黑" w:eastAsia="微软雅黑" w:cs="Arial"/>
          <w:b w:val="0"/>
          <w:bCs/>
          <w:szCs w:val="21"/>
          <w:lang w:val="en-US" w:eastAsia="zh-CN"/>
        </w:rPr>
        <w:t>普通赎回确认时效及资金到账日参照下列规则：</w:t>
      </w:r>
    </w:p>
    <w:p>
      <w:pPr>
        <w:numPr>
          <w:ilvl w:val="0"/>
          <w:numId w:val="6"/>
        </w:numPr>
        <w:adjustRightInd w:val="0"/>
        <w:snapToGrid w:val="0"/>
        <w:spacing w:line="320" w:lineRule="exact"/>
        <w:ind w:firstLine="420" w:firstLineChars="200"/>
        <w:rPr>
          <w:rFonts w:hint="eastAsia" w:ascii="微软雅黑" w:hAnsi="微软雅黑" w:eastAsia="微软雅黑" w:cs="Arial"/>
          <w:szCs w:val="21"/>
          <w:lang w:eastAsia="zh-CN"/>
        </w:rPr>
      </w:pPr>
      <w:r>
        <w:rPr>
          <w:rFonts w:hint="eastAsia" w:ascii="微软雅黑" w:hAnsi="微软雅黑" w:eastAsia="微软雅黑" w:cs="Arial"/>
          <w:szCs w:val="21"/>
          <w:lang w:eastAsia="zh-CN"/>
        </w:rPr>
        <w:t>普通赎回规则</w:t>
      </w:r>
    </w:p>
    <w:p>
      <w:pPr>
        <w:adjustRightInd w:val="0"/>
        <w:snapToGrid w:val="0"/>
        <w:spacing w:line="320" w:lineRule="exact"/>
        <w:ind w:firstLine="420" w:firstLineChars="200"/>
        <w:rPr>
          <w:rFonts w:hint="eastAsia" w:ascii="微软雅黑" w:hAnsi="微软雅黑" w:eastAsia="微软雅黑" w:cs="Arial"/>
          <w:szCs w:val="21"/>
          <w:lang w:eastAsia="zh-CN"/>
        </w:rPr>
      </w:pPr>
      <w:r>
        <w:rPr>
          <w:rFonts w:hint="eastAsia" w:ascii="微软雅黑" w:hAnsi="微软雅黑" w:eastAsia="微软雅黑" w:cs="Arial"/>
          <w:szCs w:val="21"/>
          <w:lang w:eastAsia="zh-CN"/>
        </w:rPr>
        <w:t>本产品按份额赎回，最低赎回份额为</w:t>
      </w:r>
      <w:r>
        <w:rPr>
          <w:rFonts w:hint="eastAsia" w:ascii="微软雅黑" w:hAnsi="微软雅黑" w:eastAsia="微软雅黑" w:cs="Arial"/>
          <w:szCs w:val="21"/>
          <w:lang w:val="en-US" w:eastAsia="zh-CN"/>
        </w:rPr>
        <w:t>0.01份。部分赎回后投资者持有本产品的实时份额余额不得低于相应最低持有份额1000份，否则系统将对投资者的赎回申请予以拒绝。</w:t>
      </w:r>
      <w:r>
        <w:rPr>
          <w:rFonts w:hint="eastAsia" w:ascii="微软雅黑" w:hAnsi="微软雅黑" w:eastAsia="微软雅黑" w:cs="Arial"/>
          <w:szCs w:val="21"/>
          <w:lang w:eastAsia="zh-CN"/>
        </w:rPr>
        <w:t>对于投资者提出的赎回申请，珠海华润银行将按照以下方式确认赎回申请的有效性：</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top"/>
          </w:tcPr>
          <w:p>
            <w:pPr>
              <w:adjustRightInd w:val="0"/>
              <w:snapToGrid w:val="0"/>
              <w:spacing w:line="320" w:lineRule="exact"/>
              <w:jc w:val="center"/>
              <w:rPr>
                <w:rFonts w:hint="eastAsia" w:ascii="微软雅黑" w:hAnsi="微软雅黑" w:eastAsia="微软雅黑" w:cs="Arial"/>
                <w:kern w:val="2"/>
                <w:sz w:val="21"/>
                <w:szCs w:val="21"/>
                <w:vertAlign w:val="baseline"/>
                <w:lang w:val="en-US" w:eastAsia="zh-CN" w:bidi="ar-SA"/>
              </w:rPr>
            </w:pPr>
            <w:r>
              <w:rPr>
                <w:rFonts w:hint="eastAsia" w:ascii="微软雅黑" w:hAnsi="微软雅黑" w:eastAsia="微软雅黑" w:cs="Arial"/>
                <w:szCs w:val="21"/>
                <w:vertAlign w:val="baseline"/>
                <w:lang w:eastAsia="zh-CN"/>
              </w:rPr>
              <w:t>赎回申请时间</w:t>
            </w:r>
          </w:p>
        </w:tc>
        <w:tc>
          <w:tcPr>
            <w:tcW w:w="2841" w:type="dxa"/>
            <w:noWrap w:val="0"/>
            <w:vAlign w:val="top"/>
          </w:tcPr>
          <w:p>
            <w:pPr>
              <w:adjustRightInd w:val="0"/>
              <w:snapToGrid w:val="0"/>
              <w:spacing w:line="320" w:lineRule="exact"/>
              <w:jc w:val="center"/>
              <w:rPr>
                <w:rFonts w:hint="eastAsia" w:ascii="微软雅黑" w:hAnsi="微软雅黑" w:eastAsia="微软雅黑" w:cs="Arial"/>
                <w:kern w:val="2"/>
                <w:sz w:val="21"/>
                <w:szCs w:val="21"/>
                <w:vertAlign w:val="baseline"/>
                <w:lang w:val="en-US" w:eastAsia="zh-CN" w:bidi="ar-SA"/>
              </w:rPr>
            </w:pPr>
            <w:r>
              <w:rPr>
                <w:rFonts w:hint="eastAsia" w:ascii="微软雅黑" w:hAnsi="微软雅黑" w:eastAsia="微软雅黑" w:cs="Arial"/>
                <w:szCs w:val="21"/>
                <w:vertAlign w:val="baseline"/>
                <w:lang w:eastAsia="zh-CN"/>
              </w:rPr>
              <w:t>赎回确认方式</w:t>
            </w:r>
          </w:p>
        </w:tc>
        <w:tc>
          <w:tcPr>
            <w:tcW w:w="2841" w:type="dxa"/>
            <w:noWrap w:val="0"/>
            <w:vAlign w:val="top"/>
          </w:tcPr>
          <w:p>
            <w:pPr>
              <w:adjustRightInd w:val="0"/>
              <w:snapToGrid w:val="0"/>
              <w:spacing w:line="320" w:lineRule="exact"/>
              <w:jc w:val="center"/>
              <w:rPr>
                <w:rFonts w:hint="eastAsia" w:ascii="微软雅黑" w:hAnsi="微软雅黑" w:eastAsia="微软雅黑" w:cs="Arial"/>
                <w:kern w:val="2"/>
                <w:sz w:val="21"/>
                <w:szCs w:val="21"/>
                <w:vertAlign w:val="baseline"/>
                <w:lang w:val="en-US" w:eastAsia="zh-CN" w:bidi="ar-SA"/>
              </w:rPr>
            </w:pPr>
            <w:r>
              <w:rPr>
                <w:rFonts w:hint="eastAsia" w:ascii="微软雅黑" w:hAnsi="微软雅黑" w:eastAsia="微软雅黑" w:cs="Arial"/>
                <w:szCs w:val="21"/>
                <w:vertAlign w:val="baseline"/>
                <w:lang w:eastAsia="zh-CN"/>
              </w:rPr>
              <w:t>赎回确认日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top"/>
          </w:tcPr>
          <w:p>
            <w:pPr>
              <w:adjustRightInd w:val="0"/>
              <w:snapToGrid w:val="0"/>
              <w:spacing w:line="320" w:lineRule="exact"/>
              <w:jc w:val="center"/>
              <w:rPr>
                <w:rFonts w:hint="eastAsia" w:ascii="微软雅黑" w:hAnsi="微软雅黑" w:eastAsia="微软雅黑" w:cs="Arial"/>
                <w:szCs w:val="21"/>
                <w:vertAlign w:val="baseline"/>
                <w:lang w:val="en-US" w:eastAsia="zh-CN"/>
              </w:rPr>
            </w:pPr>
            <w:r>
              <w:rPr>
                <w:rFonts w:hint="eastAsia" w:ascii="微软雅黑" w:hAnsi="微软雅黑" w:eastAsia="微软雅黑" w:cs="Arial"/>
                <w:szCs w:val="21"/>
                <w:vertAlign w:val="baseline"/>
                <w:lang w:val="en-US" w:eastAsia="zh-CN"/>
              </w:rPr>
              <w:t>T日00:00-15:00</w:t>
            </w:r>
          </w:p>
          <w:p>
            <w:pPr>
              <w:adjustRightInd w:val="0"/>
              <w:snapToGrid w:val="0"/>
              <w:spacing w:line="320" w:lineRule="exact"/>
              <w:jc w:val="center"/>
              <w:rPr>
                <w:rFonts w:hint="eastAsia" w:ascii="微软雅黑" w:hAnsi="微软雅黑" w:eastAsia="微软雅黑" w:cs="Arial"/>
                <w:szCs w:val="21"/>
                <w:vertAlign w:val="baseline"/>
                <w:lang w:eastAsia="zh-CN"/>
              </w:rPr>
            </w:pPr>
            <w:r>
              <w:rPr>
                <w:rFonts w:hint="eastAsia" w:ascii="微软雅黑" w:hAnsi="微软雅黑" w:eastAsia="微软雅黑" w:cs="Arial"/>
                <w:szCs w:val="21"/>
                <w:vertAlign w:val="baseline"/>
                <w:lang w:val="en-US" w:eastAsia="zh-CN"/>
              </w:rPr>
              <w:t>（T为开放日）</w:t>
            </w:r>
          </w:p>
        </w:tc>
        <w:tc>
          <w:tcPr>
            <w:tcW w:w="2841" w:type="dxa"/>
            <w:noWrap w:val="0"/>
            <w:vAlign w:val="top"/>
          </w:tcPr>
          <w:p>
            <w:pPr>
              <w:adjustRightInd w:val="0"/>
              <w:snapToGrid w:val="0"/>
              <w:spacing w:line="320" w:lineRule="exact"/>
              <w:rPr>
                <w:rFonts w:hint="eastAsia" w:ascii="微软雅黑" w:hAnsi="微软雅黑" w:eastAsia="微软雅黑" w:cs="Arial"/>
                <w:szCs w:val="21"/>
                <w:vertAlign w:val="baseline"/>
                <w:lang w:eastAsia="zh-CN"/>
              </w:rPr>
            </w:pPr>
            <w:r>
              <w:rPr>
                <w:rFonts w:hint="eastAsia" w:ascii="微软雅黑" w:hAnsi="微软雅黑" w:eastAsia="微软雅黑" w:cs="Arial"/>
                <w:szCs w:val="21"/>
                <w:vertAlign w:val="baseline"/>
                <w:lang w:val="en-US" w:eastAsia="zh-CN"/>
              </w:rPr>
              <w:t>投资者的份额赎回申请视为T日的赎回交易，珠海华润银行于T日后第1个开放日对投资者的赎回交易的有效性进行确认。</w:t>
            </w:r>
          </w:p>
        </w:tc>
        <w:tc>
          <w:tcPr>
            <w:tcW w:w="2841" w:type="dxa"/>
            <w:noWrap w:val="0"/>
            <w:vAlign w:val="top"/>
          </w:tcPr>
          <w:p>
            <w:pPr>
              <w:adjustRightInd w:val="0"/>
              <w:snapToGrid w:val="0"/>
              <w:spacing w:line="320" w:lineRule="exact"/>
              <w:ind w:firstLine="840" w:firstLineChars="400"/>
              <w:rPr>
                <w:rFonts w:hint="eastAsia" w:ascii="微软雅黑" w:hAnsi="微软雅黑" w:eastAsia="微软雅黑" w:cs="Arial"/>
                <w:szCs w:val="21"/>
                <w:vertAlign w:val="baseline"/>
                <w:lang w:val="en-US" w:eastAsia="zh-CN"/>
              </w:rPr>
            </w:pPr>
            <w:r>
              <w:rPr>
                <w:rFonts w:hint="eastAsia" w:ascii="微软雅黑" w:hAnsi="微软雅黑" w:eastAsia="微软雅黑" w:cs="Arial"/>
                <w:szCs w:val="21"/>
                <w:vertAlign w:val="baseline"/>
                <w:lang w:val="en-US" w:eastAsia="zh-CN"/>
              </w:rPr>
              <w:t>T+1日，</w:t>
            </w:r>
          </w:p>
          <w:p>
            <w:pPr>
              <w:adjustRightInd w:val="0"/>
              <w:snapToGrid w:val="0"/>
              <w:spacing w:line="320" w:lineRule="exact"/>
              <w:ind w:firstLine="0" w:firstLineChars="0"/>
              <w:rPr>
                <w:rFonts w:hint="default" w:ascii="微软雅黑" w:hAnsi="微软雅黑" w:eastAsia="微软雅黑" w:cs="Arial"/>
                <w:szCs w:val="21"/>
                <w:vertAlign w:val="baseline"/>
                <w:lang w:val="en-US" w:eastAsia="zh-CN"/>
              </w:rPr>
            </w:pPr>
            <w:r>
              <w:rPr>
                <w:rFonts w:hint="eastAsia" w:ascii="微软雅黑" w:hAnsi="微软雅黑" w:eastAsia="微软雅黑" w:cs="Arial"/>
                <w:szCs w:val="21"/>
                <w:vertAlign w:val="baseline"/>
                <w:lang w:val="en-US" w:eastAsia="zh-CN"/>
              </w:rPr>
              <w:t>赎回资金将于T日后第1个开放日日终划转至投资者账户。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top"/>
          </w:tcPr>
          <w:p>
            <w:pPr>
              <w:adjustRightInd w:val="0"/>
              <w:snapToGrid w:val="0"/>
              <w:spacing w:line="320" w:lineRule="exact"/>
              <w:jc w:val="center"/>
              <w:rPr>
                <w:rFonts w:hint="eastAsia" w:ascii="微软雅黑" w:hAnsi="微软雅黑" w:eastAsia="微软雅黑" w:cs="Arial"/>
                <w:szCs w:val="21"/>
                <w:vertAlign w:val="baseline"/>
                <w:lang w:val="en-US" w:eastAsia="zh-CN"/>
              </w:rPr>
            </w:pPr>
            <w:r>
              <w:rPr>
                <w:rFonts w:hint="eastAsia" w:ascii="微软雅黑" w:hAnsi="微软雅黑" w:eastAsia="微软雅黑" w:cs="Arial"/>
                <w:szCs w:val="21"/>
                <w:vertAlign w:val="baseline"/>
                <w:lang w:val="en-US" w:eastAsia="zh-CN"/>
              </w:rPr>
              <w:t>T日15:00-24:00</w:t>
            </w:r>
          </w:p>
          <w:p>
            <w:pPr>
              <w:adjustRightInd w:val="0"/>
              <w:snapToGrid w:val="0"/>
              <w:spacing w:line="320" w:lineRule="exact"/>
              <w:jc w:val="center"/>
              <w:rPr>
                <w:rFonts w:hint="eastAsia" w:ascii="微软雅黑" w:hAnsi="微软雅黑" w:eastAsia="微软雅黑" w:cs="Arial"/>
                <w:szCs w:val="21"/>
                <w:vertAlign w:val="baseline"/>
                <w:lang w:eastAsia="zh-CN"/>
              </w:rPr>
            </w:pPr>
            <w:r>
              <w:rPr>
                <w:rFonts w:hint="eastAsia" w:ascii="微软雅黑" w:hAnsi="微软雅黑" w:eastAsia="微软雅黑" w:cs="Arial"/>
                <w:szCs w:val="21"/>
                <w:vertAlign w:val="baseline"/>
                <w:lang w:val="en-US" w:eastAsia="zh-CN"/>
              </w:rPr>
              <w:t>（T为开放日）</w:t>
            </w:r>
          </w:p>
        </w:tc>
        <w:tc>
          <w:tcPr>
            <w:tcW w:w="2841" w:type="dxa"/>
            <w:noWrap w:val="0"/>
            <w:vAlign w:val="top"/>
          </w:tcPr>
          <w:p>
            <w:pPr>
              <w:adjustRightInd w:val="0"/>
              <w:snapToGrid w:val="0"/>
              <w:spacing w:line="320" w:lineRule="exact"/>
              <w:rPr>
                <w:rFonts w:hint="eastAsia" w:ascii="微软雅黑" w:hAnsi="微软雅黑" w:eastAsia="微软雅黑" w:cs="Arial"/>
                <w:szCs w:val="21"/>
                <w:vertAlign w:val="baseline"/>
                <w:lang w:eastAsia="zh-CN"/>
              </w:rPr>
            </w:pPr>
            <w:r>
              <w:rPr>
                <w:rFonts w:hint="eastAsia" w:ascii="微软雅黑" w:hAnsi="微软雅黑" w:eastAsia="微软雅黑" w:cs="Arial"/>
                <w:szCs w:val="21"/>
                <w:vertAlign w:val="baseline"/>
                <w:lang w:val="en-US" w:eastAsia="zh-CN"/>
              </w:rPr>
              <w:t>投资者的份额赎回申请视为T日后的第1个开放日的赎回交易，珠海华润银行于T日后第2个开放日对投资者的赎回交易的有效性进行确认。</w:t>
            </w:r>
          </w:p>
        </w:tc>
        <w:tc>
          <w:tcPr>
            <w:tcW w:w="2841" w:type="dxa"/>
            <w:noWrap w:val="0"/>
            <w:vAlign w:val="top"/>
          </w:tcPr>
          <w:p>
            <w:pPr>
              <w:adjustRightInd w:val="0"/>
              <w:snapToGrid w:val="0"/>
              <w:spacing w:line="320" w:lineRule="exact"/>
              <w:ind w:firstLine="840" w:firstLineChars="400"/>
              <w:rPr>
                <w:rFonts w:hint="eastAsia" w:ascii="微软雅黑" w:hAnsi="微软雅黑" w:eastAsia="微软雅黑" w:cs="Arial"/>
                <w:szCs w:val="21"/>
                <w:vertAlign w:val="baseline"/>
                <w:lang w:val="en-US" w:eastAsia="zh-CN"/>
              </w:rPr>
            </w:pPr>
            <w:r>
              <w:rPr>
                <w:rFonts w:hint="eastAsia" w:ascii="微软雅黑" w:hAnsi="微软雅黑" w:eastAsia="微软雅黑" w:cs="Arial"/>
                <w:szCs w:val="21"/>
                <w:vertAlign w:val="baseline"/>
                <w:lang w:val="en-US" w:eastAsia="zh-CN"/>
              </w:rPr>
              <w:t>T+2日，</w:t>
            </w:r>
          </w:p>
          <w:p>
            <w:pPr>
              <w:adjustRightInd w:val="0"/>
              <w:snapToGrid w:val="0"/>
              <w:spacing w:line="320" w:lineRule="exact"/>
              <w:rPr>
                <w:rFonts w:hint="eastAsia" w:ascii="微软雅黑" w:hAnsi="微软雅黑" w:eastAsia="微软雅黑" w:cs="Arial"/>
                <w:szCs w:val="21"/>
                <w:vertAlign w:val="baseline"/>
                <w:lang w:eastAsia="zh-CN"/>
              </w:rPr>
            </w:pPr>
            <w:r>
              <w:rPr>
                <w:rFonts w:hint="eastAsia" w:ascii="微软雅黑" w:hAnsi="微软雅黑" w:eastAsia="微软雅黑" w:cs="Arial"/>
                <w:szCs w:val="21"/>
                <w:vertAlign w:val="baseline"/>
                <w:lang w:val="en-US" w:eastAsia="zh-CN"/>
              </w:rPr>
              <w:t>赎回资金将于T日后第2个开放日日终划转至投资者指定账户。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top"/>
          </w:tcPr>
          <w:p>
            <w:pPr>
              <w:adjustRightInd w:val="0"/>
              <w:snapToGrid w:val="0"/>
              <w:spacing w:line="320" w:lineRule="exact"/>
              <w:jc w:val="center"/>
              <w:rPr>
                <w:rFonts w:hint="eastAsia" w:ascii="微软雅黑" w:hAnsi="微软雅黑" w:eastAsia="微软雅黑" w:cs="Arial"/>
                <w:szCs w:val="21"/>
                <w:vertAlign w:val="baseline"/>
                <w:lang w:val="en-US" w:eastAsia="zh-CN"/>
              </w:rPr>
            </w:pPr>
            <w:r>
              <w:rPr>
                <w:rFonts w:hint="eastAsia" w:ascii="微软雅黑" w:hAnsi="微软雅黑" w:eastAsia="微软雅黑" w:cs="Arial"/>
                <w:szCs w:val="21"/>
                <w:vertAlign w:val="baseline"/>
                <w:lang w:val="en-US" w:eastAsia="zh-CN"/>
              </w:rPr>
              <w:t>T日0:00-24:00</w:t>
            </w:r>
          </w:p>
          <w:p>
            <w:pPr>
              <w:adjustRightInd w:val="0"/>
              <w:snapToGrid w:val="0"/>
              <w:spacing w:line="320" w:lineRule="exact"/>
              <w:jc w:val="center"/>
              <w:rPr>
                <w:rFonts w:hint="eastAsia" w:ascii="微软雅黑" w:hAnsi="微软雅黑" w:eastAsia="微软雅黑" w:cs="Arial"/>
                <w:szCs w:val="21"/>
                <w:vertAlign w:val="baseline"/>
                <w:lang w:eastAsia="zh-CN"/>
              </w:rPr>
            </w:pPr>
            <w:r>
              <w:rPr>
                <w:rFonts w:hint="eastAsia" w:ascii="微软雅黑" w:hAnsi="微软雅黑" w:eastAsia="微软雅黑" w:cs="Arial"/>
                <w:szCs w:val="21"/>
                <w:vertAlign w:val="baseline"/>
                <w:lang w:val="en-US" w:eastAsia="zh-CN"/>
              </w:rPr>
              <w:t>（T为非开放日）</w:t>
            </w:r>
          </w:p>
        </w:tc>
        <w:tc>
          <w:tcPr>
            <w:tcW w:w="2841" w:type="dxa"/>
            <w:noWrap w:val="0"/>
            <w:vAlign w:val="top"/>
          </w:tcPr>
          <w:p>
            <w:pPr>
              <w:adjustRightInd w:val="0"/>
              <w:snapToGrid w:val="0"/>
              <w:spacing w:line="320" w:lineRule="exact"/>
              <w:rPr>
                <w:rFonts w:hint="eastAsia" w:ascii="微软雅黑" w:hAnsi="微软雅黑" w:eastAsia="微软雅黑" w:cs="Arial"/>
                <w:szCs w:val="21"/>
                <w:vertAlign w:val="baseline"/>
                <w:lang w:eastAsia="zh-CN"/>
              </w:rPr>
            </w:pPr>
            <w:r>
              <w:rPr>
                <w:rFonts w:hint="eastAsia" w:ascii="微软雅黑" w:hAnsi="微软雅黑" w:eastAsia="微软雅黑" w:cs="Arial"/>
                <w:szCs w:val="21"/>
                <w:vertAlign w:val="baseline"/>
                <w:lang w:val="en-US" w:eastAsia="zh-CN"/>
              </w:rPr>
              <w:t>投资者的份额赎回申请视为T日后的第1个开放日的赎回交易，珠海华润银行于T日后第2个开放日对投资者的赎回交易的有效性进行确认。</w:t>
            </w:r>
          </w:p>
        </w:tc>
        <w:tc>
          <w:tcPr>
            <w:tcW w:w="2841" w:type="dxa"/>
            <w:noWrap w:val="0"/>
            <w:vAlign w:val="top"/>
          </w:tcPr>
          <w:p>
            <w:pPr>
              <w:adjustRightInd w:val="0"/>
              <w:snapToGrid w:val="0"/>
              <w:spacing w:line="320" w:lineRule="exact"/>
              <w:ind w:firstLine="840" w:firstLineChars="400"/>
              <w:rPr>
                <w:rFonts w:hint="eastAsia" w:ascii="微软雅黑" w:hAnsi="微软雅黑" w:eastAsia="微软雅黑" w:cs="Arial"/>
                <w:szCs w:val="21"/>
                <w:vertAlign w:val="baseline"/>
                <w:lang w:val="en-US" w:eastAsia="zh-CN"/>
              </w:rPr>
            </w:pPr>
            <w:r>
              <w:rPr>
                <w:rFonts w:hint="eastAsia" w:ascii="微软雅黑" w:hAnsi="微软雅黑" w:eastAsia="微软雅黑" w:cs="Arial"/>
                <w:szCs w:val="21"/>
                <w:vertAlign w:val="baseline"/>
                <w:lang w:val="en-US" w:eastAsia="zh-CN"/>
              </w:rPr>
              <w:t>T+2日，</w:t>
            </w:r>
          </w:p>
          <w:p>
            <w:pPr>
              <w:adjustRightInd w:val="0"/>
              <w:snapToGrid w:val="0"/>
              <w:spacing w:line="320" w:lineRule="exact"/>
              <w:rPr>
                <w:rFonts w:hint="eastAsia" w:ascii="微软雅黑" w:hAnsi="微软雅黑" w:eastAsia="微软雅黑" w:cs="Arial"/>
                <w:szCs w:val="21"/>
                <w:vertAlign w:val="baseline"/>
                <w:lang w:eastAsia="zh-CN"/>
              </w:rPr>
            </w:pPr>
            <w:r>
              <w:rPr>
                <w:rFonts w:hint="eastAsia" w:ascii="微软雅黑" w:hAnsi="微软雅黑" w:eastAsia="微软雅黑" w:cs="Arial"/>
                <w:szCs w:val="21"/>
                <w:vertAlign w:val="baseline"/>
                <w:lang w:val="en-US" w:eastAsia="zh-CN"/>
              </w:rPr>
              <w:t>赎回资金将于T日后第2个开放日日终划转至投资者制定账户。</w:t>
            </w:r>
          </w:p>
        </w:tc>
      </w:tr>
    </w:tbl>
    <w:p>
      <w:pPr>
        <w:numPr>
          <w:ilvl w:val="0"/>
          <w:numId w:val="0"/>
        </w:numPr>
        <w:adjustRightInd w:val="0"/>
        <w:snapToGrid w:val="0"/>
        <w:spacing w:line="320" w:lineRule="exact"/>
        <w:ind w:firstLine="420" w:firstLineChars="20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2. 普通赎回撤单</w:t>
      </w:r>
    </w:p>
    <w:p>
      <w:pPr>
        <w:spacing w:line="320" w:lineRule="exact"/>
        <w:ind w:firstLine="420" w:firstLineChars="200"/>
        <w:rPr>
          <w:rFonts w:ascii="微软雅黑" w:hAnsi="微软雅黑" w:eastAsia="微软雅黑"/>
          <w:szCs w:val="21"/>
        </w:rPr>
      </w:pPr>
      <w:r>
        <w:rPr>
          <w:rFonts w:hint="eastAsia" w:ascii="微软雅黑" w:hAnsi="微软雅黑" w:eastAsia="微软雅黑" w:cs="Arial"/>
          <w:szCs w:val="21"/>
          <w:lang w:eastAsia="zh-CN"/>
        </w:rPr>
        <w:t>投资者</w:t>
      </w:r>
      <w:r>
        <w:rPr>
          <w:rFonts w:hint="eastAsia" w:ascii="微软雅黑" w:hAnsi="微软雅黑" w:eastAsia="微软雅黑" w:cs="Arial"/>
          <w:szCs w:val="21"/>
        </w:rPr>
        <w:t>在开放时间内</w:t>
      </w:r>
      <w:r>
        <w:rPr>
          <w:rFonts w:hint="eastAsia" w:ascii="微软雅黑" w:hAnsi="微软雅黑" w:eastAsia="微软雅黑" w:cs="Arial"/>
          <w:szCs w:val="21"/>
          <w:lang w:eastAsia="zh-CN"/>
        </w:rPr>
        <w:t>普通赎回申请可于当天</w:t>
      </w:r>
      <w:r>
        <w:rPr>
          <w:rFonts w:hint="eastAsia" w:ascii="微软雅黑" w:hAnsi="微软雅黑" w:eastAsia="微软雅黑" w:cs="Arial"/>
          <w:szCs w:val="21"/>
          <w:lang w:val="en-US" w:eastAsia="zh-CN"/>
        </w:rPr>
        <w:t>17:00前撤销，17:00后不得撤销</w:t>
      </w:r>
      <w:r>
        <w:rPr>
          <w:rFonts w:hint="eastAsia" w:ascii="微软雅黑" w:hAnsi="微软雅黑" w:eastAsia="微软雅黑" w:cs="Arial"/>
          <w:szCs w:val="21"/>
        </w:rPr>
        <w:t>。</w:t>
      </w:r>
      <w:r>
        <w:rPr>
          <w:rFonts w:hint="eastAsia" w:ascii="微软雅黑" w:hAnsi="微软雅黑" w:eastAsia="微软雅黑" w:cs="Arial"/>
          <w:szCs w:val="21"/>
          <w:lang w:eastAsia="zh-CN"/>
        </w:rPr>
        <w:t>投资者</w:t>
      </w:r>
      <w:r>
        <w:rPr>
          <w:rFonts w:hint="eastAsia" w:ascii="微软雅黑" w:hAnsi="微软雅黑" w:eastAsia="微软雅黑" w:cs="Arial"/>
          <w:szCs w:val="21"/>
        </w:rPr>
        <w:t>在非开放时间内提出的</w:t>
      </w:r>
      <w:r>
        <w:rPr>
          <w:rFonts w:hint="eastAsia" w:ascii="微软雅黑" w:hAnsi="微软雅黑" w:eastAsia="微软雅黑" w:cs="Arial"/>
          <w:szCs w:val="21"/>
          <w:lang w:eastAsia="zh-CN"/>
        </w:rPr>
        <w:t>普通赎回</w:t>
      </w:r>
      <w:r>
        <w:rPr>
          <w:rFonts w:hint="eastAsia" w:ascii="微软雅黑" w:hAnsi="微软雅黑" w:eastAsia="微软雅黑" w:cs="Arial"/>
          <w:szCs w:val="21"/>
        </w:rPr>
        <w:t>申请，可在</w:t>
      </w:r>
      <w:r>
        <w:rPr>
          <w:rFonts w:hint="eastAsia" w:ascii="微软雅黑" w:hAnsi="微软雅黑" w:eastAsia="微软雅黑" w:cs="Arial"/>
          <w:szCs w:val="21"/>
          <w:lang w:eastAsia="zh-CN"/>
        </w:rPr>
        <w:t>赎回申请日后的第</w:t>
      </w:r>
      <w:r>
        <w:rPr>
          <w:rFonts w:hint="eastAsia" w:ascii="微软雅黑" w:hAnsi="微软雅黑" w:eastAsia="微软雅黑" w:cs="Arial"/>
          <w:szCs w:val="21"/>
          <w:lang w:val="en-US" w:eastAsia="zh-CN"/>
        </w:rPr>
        <w:t>1个开放日17:00前撤销，17:00后不得撤销</w:t>
      </w:r>
      <w:r>
        <w:rPr>
          <w:rFonts w:hint="eastAsia" w:ascii="微软雅黑" w:hAnsi="微软雅黑" w:eastAsia="微软雅黑"/>
          <w:szCs w:val="21"/>
        </w:rPr>
        <w:t>。</w:t>
      </w:r>
    </w:p>
    <w:p>
      <w:pPr>
        <w:numPr>
          <w:ilvl w:val="0"/>
          <w:numId w:val="7"/>
        </w:numPr>
        <w:adjustRightInd w:val="0"/>
        <w:snapToGrid w:val="0"/>
        <w:spacing w:line="320" w:lineRule="exact"/>
        <w:ind w:firstLine="420" w:firstLineChars="200"/>
        <w:rPr>
          <w:rFonts w:hint="eastAsia" w:ascii="微软雅黑" w:hAnsi="微软雅黑" w:eastAsia="微软雅黑" w:cs="Arial"/>
          <w:szCs w:val="21"/>
        </w:rPr>
      </w:pPr>
      <w:r>
        <w:rPr>
          <w:rFonts w:hint="eastAsia" w:ascii="微软雅黑" w:hAnsi="微软雅黑" w:eastAsia="微软雅黑" w:cs="Arial"/>
          <w:szCs w:val="21"/>
        </w:rPr>
        <w:t>巨额赎回</w:t>
      </w:r>
    </w:p>
    <w:p>
      <w:pPr>
        <w:numPr>
          <w:ilvl w:val="0"/>
          <w:numId w:val="0"/>
        </w:numPr>
        <w:adjustRightInd w:val="0"/>
        <w:snapToGrid w:val="0"/>
        <w:spacing w:line="320" w:lineRule="exact"/>
        <w:ind w:firstLine="210" w:firstLineChars="100"/>
        <w:rPr>
          <w:rFonts w:hint="default" w:ascii="微软雅黑" w:hAnsi="微软雅黑" w:eastAsia="微软雅黑" w:cs="Arial"/>
          <w:szCs w:val="21"/>
          <w:lang w:val="en-US" w:eastAsia="zh-CN"/>
        </w:rPr>
      </w:pPr>
      <w:r>
        <w:rPr>
          <w:rFonts w:hint="eastAsia" w:ascii="微软雅黑" w:hAnsi="微软雅黑" w:eastAsia="微软雅黑" w:cs="Arial"/>
          <w:szCs w:val="21"/>
          <w:lang w:eastAsia="zh-CN"/>
        </w:rPr>
        <w:t>（</w:t>
      </w:r>
      <w:r>
        <w:rPr>
          <w:rFonts w:hint="eastAsia" w:ascii="微软雅黑" w:hAnsi="微软雅黑" w:eastAsia="微软雅黑" w:cs="Arial"/>
          <w:szCs w:val="21"/>
          <w:lang w:val="en-US" w:eastAsia="zh-CN"/>
        </w:rPr>
        <w:t>1）巨额赎回的认定</w:t>
      </w:r>
    </w:p>
    <w:p>
      <w:pPr>
        <w:adjustRightInd w:val="0"/>
        <w:snapToGrid w:val="0"/>
        <w:spacing w:line="320" w:lineRule="exact"/>
        <w:ind w:firstLine="420" w:firstLineChars="200"/>
        <w:rPr>
          <w:rFonts w:hint="eastAsia" w:ascii="微软雅黑" w:hAnsi="微软雅黑" w:eastAsia="微软雅黑" w:cs="Arial"/>
          <w:szCs w:val="21"/>
        </w:rPr>
      </w:pPr>
      <w:r>
        <w:rPr>
          <w:rFonts w:hint="eastAsia" w:ascii="微软雅黑" w:hAnsi="微软雅黑" w:eastAsia="微软雅黑" w:cs="Arial"/>
          <w:szCs w:val="21"/>
        </w:rPr>
        <w:t>单个开放日中，本产品的净赎回申请份额（赎回申请总份额扣除申购总份额后的余额</w:t>
      </w:r>
      <w:r>
        <w:rPr>
          <w:rFonts w:hint="eastAsia" w:ascii="微软雅黑" w:hAnsi="微软雅黑" w:eastAsia="微软雅黑" w:cs="Arial"/>
          <w:szCs w:val="21"/>
          <w:lang w:eastAsia="zh-CN"/>
        </w:rPr>
        <w:t>，下同</w:t>
      </w:r>
      <w:r>
        <w:rPr>
          <w:rFonts w:hint="eastAsia" w:ascii="微软雅黑" w:hAnsi="微软雅黑" w:eastAsia="微软雅黑" w:cs="Arial"/>
          <w:szCs w:val="21"/>
        </w:rPr>
        <w:t>）之和超过上一日产品总份额的</w:t>
      </w:r>
      <w:r>
        <w:rPr>
          <w:rFonts w:ascii="微软雅黑" w:hAnsi="微软雅黑" w:eastAsia="微软雅黑" w:cs="Arial"/>
          <w:szCs w:val="21"/>
        </w:rPr>
        <w:t>10%</w:t>
      </w:r>
      <w:r>
        <w:rPr>
          <w:rFonts w:hint="eastAsia" w:ascii="微软雅黑" w:hAnsi="微软雅黑" w:eastAsia="微软雅黑" w:cs="Arial"/>
          <w:szCs w:val="21"/>
        </w:rPr>
        <w:t>，为巨额赎回。</w:t>
      </w:r>
    </w:p>
    <w:p>
      <w:pPr>
        <w:numPr>
          <w:ilvl w:val="0"/>
          <w:numId w:val="0"/>
        </w:numPr>
        <w:adjustRightInd w:val="0"/>
        <w:snapToGrid w:val="0"/>
        <w:spacing w:line="320" w:lineRule="exact"/>
        <w:ind w:firstLine="0" w:firstLineChars="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 xml:space="preserve">  （2）巨额赎回的处理</w:t>
      </w:r>
    </w:p>
    <w:p>
      <w:pPr>
        <w:numPr>
          <w:ilvl w:val="0"/>
          <w:numId w:val="0"/>
        </w:numPr>
        <w:adjustRightInd w:val="0"/>
        <w:snapToGrid w:val="0"/>
        <w:spacing w:line="320" w:lineRule="exact"/>
        <w:ind w:firstLine="420" w:firstLineChars="200"/>
        <w:rPr>
          <w:rFonts w:hint="eastAsia" w:ascii="微软雅黑" w:hAnsi="微软雅黑" w:eastAsia="微软雅黑" w:cs="Arial"/>
          <w:szCs w:val="21"/>
          <w:lang w:eastAsia="zh-CN"/>
        </w:rPr>
      </w:pPr>
      <w:r>
        <w:rPr>
          <w:rFonts w:hint="eastAsia" w:ascii="微软雅黑" w:hAnsi="微软雅黑" w:eastAsia="微软雅黑" w:cs="Arial"/>
          <w:szCs w:val="21"/>
        </w:rPr>
        <w:t>出现巨额赎回时，</w:t>
      </w:r>
      <w:r>
        <w:rPr>
          <w:rFonts w:hint="eastAsia" w:ascii="微软雅黑" w:hAnsi="微软雅黑" w:eastAsia="微软雅黑" w:cs="Arial"/>
          <w:szCs w:val="21"/>
          <w:lang w:eastAsia="zh-CN"/>
        </w:rPr>
        <w:t>管理人有权依照本产品当时的资产组合状况选择全额赎回、部分赎回或延缓支付赎回款项。</w:t>
      </w:r>
    </w:p>
    <w:p>
      <w:pPr>
        <w:numPr>
          <w:ilvl w:val="0"/>
          <w:numId w:val="0"/>
        </w:numPr>
        <w:adjustRightInd w:val="0"/>
        <w:snapToGrid w:val="0"/>
        <w:spacing w:line="320" w:lineRule="exact"/>
        <w:ind w:firstLine="420" w:firstLineChars="200"/>
        <w:rPr>
          <w:rFonts w:hint="eastAsia" w:ascii="微软雅黑" w:hAnsi="微软雅黑" w:eastAsia="微软雅黑" w:cs="Arial"/>
          <w:szCs w:val="21"/>
          <w:lang w:val="en-US" w:eastAsia="zh-CN"/>
        </w:rPr>
      </w:pPr>
      <w:r>
        <w:rPr>
          <w:rFonts w:hint="default" w:ascii="Calibri" w:hAnsi="Calibri" w:eastAsia="微软雅黑" w:cs="Calibri"/>
          <w:szCs w:val="21"/>
          <w:lang w:val="en-US" w:eastAsia="zh-CN"/>
        </w:rPr>
        <w:t>①</w:t>
      </w:r>
      <w:r>
        <w:rPr>
          <w:rFonts w:hint="eastAsia" w:ascii="微软雅黑" w:hAnsi="微软雅黑" w:eastAsia="微软雅黑" w:cs="Arial"/>
          <w:szCs w:val="21"/>
          <w:lang w:val="en-US" w:eastAsia="zh-CN"/>
        </w:rPr>
        <w:t>全额赎回：当管理人有能力支付投资者的全部赎回申请时，按正常赎回程序执行；</w:t>
      </w:r>
    </w:p>
    <w:p>
      <w:pPr>
        <w:numPr>
          <w:ilvl w:val="0"/>
          <w:numId w:val="0"/>
        </w:numPr>
        <w:adjustRightInd w:val="0"/>
        <w:snapToGrid w:val="0"/>
        <w:spacing w:line="320" w:lineRule="exact"/>
        <w:ind w:firstLine="420" w:firstLineChars="200"/>
        <w:rPr>
          <w:rFonts w:hint="default" w:ascii="微软雅黑" w:hAnsi="微软雅黑" w:eastAsia="微软雅黑" w:cs="Arial"/>
          <w:szCs w:val="21"/>
          <w:lang w:val="en-US" w:eastAsia="zh-CN"/>
        </w:rPr>
      </w:pPr>
      <w:r>
        <w:rPr>
          <w:rFonts w:hint="default" w:ascii="Calibri" w:hAnsi="Calibri" w:eastAsia="微软雅黑" w:cs="Calibri"/>
          <w:szCs w:val="21"/>
          <w:lang w:val="en-US" w:eastAsia="zh-CN"/>
        </w:rPr>
        <w:t>②</w:t>
      </w:r>
      <w:r>
        <w:rPr>
          <w:rFonts w:hint="eastAsia" w:ascii="微软雅黑" w:hAnsi="微软雅黑" w:eastAsia="微软雅黑" w:cs="Arial"/>
          <w:szCs w:val="21"/>
          <w:lang w:val="en-US" w:eastAsia="zh-CN"/>
        </w:rPr>
        <w:t>部分赎回：当管理人认为支付投资者的赎回款项有困难或认为因支付投资者的赎回款而进行的资产变现可能会对理财产品资产净值造成较大波动等情形时，在当日接受赎回比</w:t>
      </w:r>
      <w:r>
        <w:rPr>
          <w:rFonts w:hint="eastAsia" w:ascii="微软雅黑" w:hAnsi="微软雅黑" w:eastAsia="微软雅黑" w:cs="Arial"/>
          <w:b w:val="0"/>
          <w:bCs w:val="0"/>
          <w:szCs w:val="21"/>
          <w:lang w:val="en-US" w:eastAsia="zh-CN"/>
        </w:rPr>
        <w:t>例不低于上一交易日日终理财产品总份额的10%的前提下</w:t>
      </w:r>
      <w:r>
        <w:rPr>
          <w:rFonts w:hint="eastAsia" w:ascii="微软雅黑" w:hAnsi="微软雅黑" w:eastAsia="微软雅黑" w:cs="Arial"/>
          <w:szCs w:val="21"/>
          <w:lang w:val="en-US" w:eastAsia="zh-CN"/>
        </w:rPr>
        <w:t>，管理人有权暂停接受超过10%以上部分的赎回申请，或对超过10%以上部分的赎回申请</w:t>
      </w:r>
      <w:r>
        <w:rPr>
          <w:rFonts w:hint="eastAsia" w:ascii="微软雅黑" w:hAnsi="微软雅黑" w:eastAsia="微软雅黑" w:cs="Arial"/>
          <w:b w:val="0"/>
          <w:bCs w:val="0"/>
          <w:szCs w:val="21"/>
          <w:lang w:val="en-US" w:eastAsia="zh-CN"/>
        </w:rPr>
        <w:t>延期办理</w:t>
      </w:r>
      <w:r>
        <w:rPr>
          <w:rFonts w:hint="eastAsia" w:ascii="微软雅黑" w:hAnsi="微软雅黑" w:eastAsia="微软雅黑" w:cs="Arial"/>
          <w:szCs w:val="21"/>
        </w:rPr>
        <w:t>。</w:t>
      </w:r>
      <w:r>
        <w:rPr>
          <w:rFonts w:hint="eastAsia" w:ascii="微软雅黑" w:hAnsi="微软雅黑" w:eastAsia="微软雅黑" w:cs="Arial"/>
          <w:szCs w:val="21"/>
          <w:lang w:eastAsia="zh-CN"/>
        </w:rPr>
        <w:t>若管理人对于超过</w:t>
      </w:r>
      <w:r>
        <w:rPr>
          <w:rFonts w:hint="eastAsia" w:ascii="微软雅黑" w:hAnsi="微软雅黑" w:eastAsia="微软雅黑" w:cs="Arial"/>
          <w:szCs w:val="21"/>
          <w:lang w:val="en-US" w:eastAsia="zh-CN"/>
        </w:rPr>
        <w:t>10%以上部分的赎回申请选择延期办理，管理人有权于开放日按照投资者赎回递交申请的顺序，依照时间优先（即先申请、先赎回）的原则确认当日受理的赎回申请；</w:t>
      </w:r>
      <w:r>
        <w:rPr>
          <w:rFonts w:hint="eastAsia" w:ascii="微软雅黑" w:hAnsi="微软雅黑" w:eastAsia="微软雅黑" w:cs="Arial"/>
          <w:b w:val="0"/>
          <w:bCs w:val="0"/>
          <w:szCs w:val="21"/>
          <w:lang w:val="en-US" w:eastAsia="zh-CN"/>
        </w:rPr>
        <w:t>或对投资者的所有赎回申请，按照单个投资者当日申请赎回份额占当日申请赎回总份额的比例进行确认</w:t>
      </w:r>
      <w:r>
        <w:rPr>
          <w:rFonts w:hint="eastAsia" w:ascii="微软雅黑" w:hAnsi="微软雅黑" w:eastAsia="微软雅黑" w:cs="Arial"/>
          <w:b/>
          <w:bCs/>
          <w:szCs w:val="21"/>
          <w:lang w:val="en-US" w:eastAsia="zh-CN"/>
        </w:rPr>
        <w:t>。</w:t>
      </w:r>
    </w:p>
    <w:p>
      <w:pPr>
        <w:numPr>
          <w:ilvl w:val="0"/>
          <w:numId w:val="0"/>
        </w:numPr>
        <w:adjustRightInd w:val="0"/>
        <w:snapToGrid w:val="0"/>
        <w:spacing w:line="320" w:lineRule="exact"/>
        <w:ind w:firstLine="0" w:firstLineChars="0"/>
        <w:rPr>
          <w:rFonts w:hint="default" w:ascii="微软雅黑" w:hAnsi="微软雅黑" w:eastAsia="微软雅黑" w:cs="Arial"/>
          <w:szCs w:val="21"/>
          <w:lang w:val="en-US" w:eastAsia="zh-CN"/>
        </w:rPr>
      </w:pPr>
      <w:r>
        <w:rPr>
          <w:rFonts w:hint="eastAsia" w:ascii="微软雅黑" w:hAnsi="微软雅黑" w:eastAsia="微软雅黑" w:cs="Arial"/>
          <w:szCs w:val="21"/>
          <w:lang w:val="en-US" w:eastAsia="zh-CN"/>
        </w:rPr>
        <w:t xml:space="preserve">    若管理人对于超过10%以上部分的赎回申请选择延期办理，对于未能赎回部分，投资者可选择将当日未获办理的赎回申请予以撤销。投资者未选择撤销的，管理人有权延期至下一开放日办理，延期至下一开放日办理的赎回价格为下一个开放日的价格，顺延至下一开放日的赎回申请不享有优先确认权。</w:t>
      </w:r>
    </w:p>
    <w:p>
      <w:pPr>
        <w:numPr>
          <w:ilvl w:val="0"/>
          <w:numId w:val="0"/>
        </w:numPr>
        <w:adjustRightInd w:val="0"/>
        <w:snapToGrid w:val="0"/>
        <w:spacing w:line="320" w:lineRule="exact"/>
        <w:ind w:firstLine="420" w:firstLineChars="200"/>
        <w:rPr>
          <w:rFonts w:hint="eastAsia" w:ascii="微软雅黑" w:hAnsi="微软雅黑" w:eastAsia="微软雅黑" w:cs="Arial"/>
          <w:szCs w:val="21"/>
          <w:lang w:val="en-US" w:eastAsia="zh-CN"/>
        </w:rPr>
      </w:pPr>
      <w:r>
        <w:rPr>
          <w:rFonts w:hint="default" w:ascii="Calibri" w:hAnsi="Calibri" w:eastAsia="微软雅黑" w:cs="Calibri"/>
          <w:szCs w:val="21"/>
          <w:lang w:val="en-US" w:eastAsia="zh-CN"/>
        </w:rPr>
        <w:t>③</w:t>
      </w:r>
      <w:r>
        <w:rPr>
          <w:rFonts w:hint="eastAsia" w:ascii="微软雅黑" w:hAnsi="微软雅黑" w:eastAsia="微软雅黑" w:cs="Arial"/>
          <w:szCs w:val="21"/>
          <w:lang w:val="en-US" w:eastAsia="zh-CN"/>
        </w:rPr>
        <w:t>延缓支付赎回款：若</w:t>
      </w:r>
      <w:r>
        <w:rPr>
          <w:rFonts w:hint="eastAsia" w:ascii="微软雅黑" w:hAnsi="微软雅黑" w:eastAsia="微软雅黑" w:cs="Arial"/>
          <w:szCs w:val="21"/>
          <w:lang w:eastAsia="zh-CN"/>
        </w:rPr>
        <w:t>本</w:t>
      </w:r>
      <w:r>
        <w:rPr>
          <w:rFonts w:hint="eastAsia" w:ascii="微软雅黑" w:hAnsi="微软雅黑" w:eastAsia="微软雅黑" w:cs="Arial"/>
          <w:szCs w:val="21"/>
        </w:rPr>
        <w:t>产品连续两个开放日（含）以上发生巨额赎回，</w:t>
      </w:r>
      <w:r>
        <w:rPr>
          <w:rFonts w:hint="eastAsia" w:ascii="微软雅黑" w:hAnsi="微软雅黑" w:eastAsia="微软雅黑" w:cs="Arial"/>
          <w:szCs w:val="21"/>
          <w:lang w:eastAsia="zh-CN"/>
        </w:rPr>
        <w:t>管理人除有权选择全额赎回或部分赎回等措施外，对于已经接受的赎回申请，管理人有权延缓支付赎回款项，但延缓支付期限不得超过</w:t>
      </w:r>
      <w:r>
        <w:rPr>
          <w:rFonts w:hint="eastAsia" w:ascii="微软雅黑" w:hAnsi="微软雅黑" w:eastAsia="微软雅黑" w:cs="Arial"/>
          <w:szCs w:val="21"/>
          <w:lang w:val="en-US" w:eastAsia="zh-CN"/>
        </w:rPr>
        <w:t>20个工作日。</w:t>
      </w:r>
    </w:p>
    <w:p>
      <w:pPr>
        <w:numPr>
          <w:ilvl w:val="0"/>
          <w:numId w:val="0"/>
        </w:numPr>
        <w:adjustRightInd w:val="0"/>
        <w:snapToGrid w:val="0"/>
        <w:spacing w:line="320" w:lineRule="exact"/>
        <w:ind w:firstLine="420" w:firstLineChars="200"/>
        <w:rPr>
          <w:rFonts w:hint="eastAsia" w:ascii="微软雅黑" w:hAnsi="微软雅黑" w:eastAsia="微软雅黑" w:cs="Arial"/>
          <w:szCs w:val="21"/>
        </w:rPr>
      </w:pPr>
      <w:r>
        <w:rPr>
          <w:rFonts w:hint="default" w:ascii="Calibri" w:hAnsi="Calibri" w:eastAsia="微软雅黑" w:cs="Calibri"/>
          <w:szCs w:val="21"/>
          <w:lang w:eastAsia="zh-CN"/>
        </w:rPr>
        <w:t>④</w:t>
      </w:r>
      <w:r>
        <w:rPr>
          <w:rFonts w:hint="eastAsia" w:ascii="微软雅黑" w:hAnsi="微软雅黑" w:eastAsia="微软雅黑" w:cs="Arial"/>
          <w:szCs w:val="21"/>
          <w:lang w:eastAsia="zh-CN"/>
        </w:rPr>
        <w:t>当发生巨额赎回或连续巨额赎回，管理人选择延期办理巨额赎回申请、暂停接受赎回申请或延缓支付赎回款项时，管理人将根据本产品说明书约定的信息披露方式向投资者进行信息披露。</w:t>
      </w:r>
    </w:p>
    <w:p>
      <w:pPr>
        <w:numPr>
          <w:ilvl w:val="0"/>
          <w:numId w:val="0"/>
        </w:numPr>
        <w:adjustRightInd w:val="0"/>
        <w:snapToGrid w:val="0"/>
        <w:spacing w:line="320" w:lineRule="exact"/>
        <w:ind w:firstLine="210" w:firstLineChars="100"/>
        <w:rPr>
          <w:rFonts w:hint="eastAsia" w:ascii="微软雅黑" w:hAnsi="微软雅黑" w:eastAsia="微软雅黑" w:cs="Arial"/>
          <w:b/>
          <w:bCs/>
          <w:szCs w:val="21"/>
          <w:lang w:eastAsia="zh-CN"/>
        </w:rPr>
      </w:pPr>
      <w:r>
        <w:rPr>
          <w:rFonts w:hint="eastAsia" w:ascii="微软雅黑" w:hAnsi="微软雅黑" w:eastAsia="微软雅黑" w:cs="Arial"/>
          <w:b/>
          <w:bCs/>
          <w:szCs w:val="21"/>
          <w:lang w:eastAsia="zh-CN"/>
        </w:rPr>
        <w:t>（三）拒绝或暂停接受申购或赎回申请、延缓支付赎回款项的情形及处理方式</w:t>
      </w:r>
    </w:p>
    <w:p>
      <w:pPr>
        <w:numPr>
          <w:ilvl w:val="0"/>
          <w:numId w:val="8"/>
        </w:numPr>
        <w:adjustRightInd w:val="0"/>
        <w:snapToGrid w:val="0"/>
        <w:spacing w:line="320" w:lineRule="exact"/>
        <w:ind w:left="315" w:firstLine="0" w:firstLineChars="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发生下列情形时，管理人可拒绝或暂停投资者的申购申请：</w:t>
      </w:r>
    </w:p>
    <w:p>
      <w:pPr>
        <w:numPr>
          <w:ilvl w:val="0"/>
          <w:numId w:val="9"/>
        </w:numPr>
        <w:adjustRightInd w:val="0"/>
        <w:snapToGrid w:val="0"/>
        <w:spacing w:line="320" w:lineRule="exact"/>
        <w:ind w:firstLine="210" w:firstLineChars="10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因战争、自然灾害、系统故障等不可抗力导致理财产品无法正常运作；</w:t>
      </w:r>
    </w:p>
    <w:p>
      <w:pPr>
        <w:numPr>
          <w:ilvl w:val="0"/>
          <w:numId w:val="9"/>
        </w:numPr>
        <w:adjustRightInd w:val="0"/>
        <w:snapToGrid w:val="0"/>
        <w:spacing w:line="320" w:lineRule="exact"/>
        <w:ind w:firstLine="210" w:firstLineChars="100"/>
        <w:rPr>
          <w:rFonts w:hint="default" w:ascii="微软雅黑" w:hAnsi="微软雅黑" w:eastAsia="微软雅黑" w:cs="Arial"/>
          <w:szCs w:val="21"/>
          <w:lang w:val="en-US" w:eastAsia="zh-CN"/>
        </w:rPr>
      </w:pPr>
      <w:r>
        <w:rPr>
          <w:rFonts w:hint="eastAsia" w:ascii="微软雅黑" w:hAnsi="微软雅黑" w:eastAsia="微软雅黑" w:cs="Arial"/>
          <w:szCs w:val="21"/>
          <w:lang w:val="en-US" w:eastAsia="zh-CN"/>
        </w:rPr>
        <w:t>发生暂停估值的情形；</w:t>
      </w:r>
    </w:p>
    <w:p>
      <w:pPr>
        <w:numPr>
          <w:ilvl w:val="0"/>
          <w:numId w:val="9"/>
        </w:numPr>
        <w:adjustRightInd w:val="0"/>
        <w:snapToGrid w:val="0"/>
        <w:spacing w:line="320" w:lineRule="exact"/>
        <w:ind w:firstLine="210" w:firstLineChars="100"/>
        <w:rPr>
          <w:rFonts w:hint="default" w:ascii="微软雅黑" w:hAnsi="微软雅黑" w:eastAsia="微软雅黑" w:cs="Arial"/>
          <w:szCs w:val="21"/>
          <w:lang w:val="en-US" w:eastAsia="zh-CN"/>
        </w:rPr>
      </w:pPr>
      <w:r>
        <w:rPr>
          <w:rFonts w:hint="eastAsia" w:ascii="微软雅黑" w:hAnsi="微软雅黑" w:eastAsia="微软雅黑" w:cs="Arial"/>
          <w:szCs w:val="21"/>
          <w:lang w:val="en-US" w:eastAsia="zh-CN"/>
        </w:rPr>
        <w:t>投资者申购超过《产品说明书》约定的发行规模上限、单笔认/申购上限、单一客户持有上限、单日净申购比例上限等；</w:t>
      </w:r>
    </w:p>
    <w:p>
      <w:pPr>
        <w:numPr>
          <w:ilvl w:val="0"/>
          <w:numId w:val="9"/>
        </w:numPr>
        <w:adjustRightInd w:val="0"/>
        <w:snapToGrid w:val="0"/>
        <w:spacing w:line="320" w:lineRule="exact"/>
        <w:ind w:firstLine="210" w:firstLineChars="100"/>
        <w:rPr>
          <w:rFonts w:hint="default" w:ascii="微软雅黑" w:hAnsi="微软雅黑" w:eastAsia="微软雅黑" w:cs="Arial"/>
          <w:szCs w:val="21"/>
          <w:lang w:val="en-US" w:eastAsia="zh-CN"/>
        </w:rPr>
      </w:pPr>
      <w:r>
        <w:rPr>
          <w:rFonts w:hint="eastAsia" w:ascii="微软雅黑" w:hAnsi="微软雅黑" w:eastAsia="微软雅黑" w:cs="Arial"/>
          <w:szCs w:val="21"/>
          <w:lang w:val="en-US" w:eastAsia="zh-CN"/>
        </w:rPr>
        <w:t>当接受某笔或某些申购申请可能导致单一投资者持有本产品份额的比例达到或超过50%的情形；</w:t>
      </w:r>
    </w:p>
    <w:p>
      <w:pPr>
        <w:numPr>
          <w:ilvl w:val="0"/>
          <w:numId w:val="9"/>
        </w:numPr>
        <w:adjustRightInd w:val="0"/>
        <w:snapToGrid w:val="0"/>
        <w:spacing w:line="320" w:lineRule="exact"/>
        <w:ind w:firstLine="210" w:firstLineChars="100"/>
        <w:rPr>
          <w:rFonts w:hint="default" w:ascii="微软雅黑" w:hAnsi="微软雅黑" w:eastAsia="微软雅黑" w:cs="Arial"/>
          <w:szCs w:val="21"/>
          <w:lang w:val="en-US" w:eastAsia="zh-CN"/>
        </w:rPr>
      </w:pPr>
      <w:r>
        <w:rPr>
          <w:rFonts w:hint="eastAsia" w:ascii="微软雅黑" w:hAnsi="微软雅黑" w:eastAsia="微软雅黑" w:cs="Arial"/>
          <w:szCs w:val="21"/>
          <w:lang w:val="en-US" w:eastAsia="zh-CN"/>
        </w:rPr>
        <w:t>当接受某笔或某些申购申请可能对本产品存量份额持有人利益构成潜在重大不利影响时；</w:t>
      </w:r>
    </w:p>
    <w:p>
      <w:pPr>
        <w:numPr>
          <w:ilvl w:val="0"/>
          <w:numId w:val="9"/>
        </w:numPr>
        <w:adjustRightInd w:val="0"/>
        <w:snapToGrid w:val="0"/>
        <w:spacing w:line="320" w:lineRule="exact"/>
        <w:ind w:firstLine="210" w:firstLineChars="100"/>
        <w:rPr>
          <w:rFonts w:hint="default" w:ascii="微软雅黑" w:hAnsi="微软雅黑" w:eastAsia="微软雅黑" w:cs="Arial"/>
          <w:szCs w:val="21"/>
          <w:lang w:val="en-US" w:eastAsia="zh-CN"/>
        </w:rPr>
      </w:pPr>
      <w:r>
        <w:rPr>
          <w:rFonts w:hint="eastAsia" w:ascii="微软雅黑" w:hAnsi="微软雅黑" w:eastAsia="微软雅黑" w:cs="Arial"/>
          <w:szCs w:val="21"/>
          <w:lang w:val="en-US" w:eastAsia="zh-CN"/>
        </w:rPr>
        <w:t>当本理财产品规模过大，使得管理人无法找到合适的投资品种，或存在其他可能对本产品投资业绩产生负面影响，或管理人认定的其他损害本产品存量份额持有人；</w:t>
      </w:r>
    </w:p>
    <w:p>
      <w:pPr>
        <w:numPr>
          <w:ilvl w:val="0"/>
          <w:numId w:val="9"/>
        </w:numPr>
        <w:adjustRightInd w:val="0"/>
        <w:snapToGrid w:val="0"/>
        <w:spacing w:line="320" w:lineRule="exact"/>
        <w:ind w:firstLine="210" w:firstLineChars="100"/>
        <w:rPr>
          <w:rFonts w:hint="default" w:ascii="微软雅黑" w:hAnsi="微软雅黑" w:eastAsia="微软雅黑" w:cs="Arial"/>
          <w:szCs w:val="21"/>
          <w:lang w:val="en-US" w:eastAsia="zh-CN"/>
        </w:rPr>
      </w:pPr>
      <w:r>
        <w:rPr>
          <w:rFonts w:hint="eastAsia" w:ascii="微软雅黑" w:hAnsi="微软雅黑" w:eastAsia="微软雅黑" w:cs="Arial"/>
          <w:szCs w:val="21"/>
          <w:lang w:val="en-US" w:eastAsia="zh-CN"/>
        </w:rPr>
        <w:t>本产品说明书规定的其他情形；</w:t>
      </w:r>
    </w:p>
    <w:p>
      <w:pPr>
        <w:numPr>
          <w:ilvl w:val="0"/>
          <w:numId w:val="0"/>
        </w:numPr>
        <w:adjustRightInd w:val="0"/>
        <w:snapToGrid w:val="0"/>
        <w:spacing w:line="320" w:lineRule="exact"/>
        <w:ind w:firstLine="420" w:firstLineChars="200"/>
        <w:rPr>
          <w:rFonts w:hint="eastAsia" w:ascii="微软雅黑" w:hAnsi="微软雅黑" w:eastAsia="微软雅黑" w:cs="Arial"/>
          <w:szCs w:val="21"/>
        </w:rPr>
      </w:pPr>
      <w:r>
        <w:rPr>
          <w:rFonts w:hint="eastAsia" w:ascii="微软雅黑" w:hAnsi="微软雅黑" w:eastAsia="微软雅黑" w:cs="Arial"/>
          <w:szCs w:val="21"/>
          <w:lang w:eastAsia="zh-CN"/>
        </w:rPr>
        <w:t>当管理人决定暂停接受投资者申购申请时，将在</w:t>
      </w:r>
      <w:r>
        <w:rPr>
          <w:rFonts w:hint="eastAsia" w:ascii="微软雅黑" w:hAnsi="微软雅黑" w:eastAsia="微软雅黑" w:cs="Arial"/>
          <w:szCs w:val="21"/>
          <w:lang w:val="en-US" w:eastAsia="zh-CN"/>
        </w:rPr>
        <w:t>3个开放日内根据本《产品说明书》约定的信息披露方式向投资者进行信息披露。若投资者的全部或部分申购申请被拒绝，被拒绝的申购款项本金将退还投资者，管理人不承担投资者由此产生的利息等损失。在上述暂停申购的情况消除时，管理人将及时恢复申购业务的办理。</w:t>
      </w:r>
    </w:p>
    <w:p>
      <w:pPr>
        <w:numPr>
          <w:ilvl w:val="0"/>
          <w:numId w:val="8"/>
        </w:numPr>
        <w:adjustRightInd w:val="0"/>
        <w:snapToGrid w:val="0"/>
        <w:spacing w:line="320" w:lineRule="exact"/>
        <w:ind w:left="315" w:firstLine="0" w:firstLineChars="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发生下列情形时，管理人可暂停接受投资者的赎回申请或延缓支付赎回款项：</w:t>
      </w:r>
    </w:p>
    <w:p>
      <w:pPr>
        <w:numPr>
          <w:ilvl w:val="0"/>
          <w:numId w:val="10"/>
        </w:numPr>
        <w:adjustRightInd w:val="0"/>
        <w:snapToGrid w:val="0"/>
        <w:spacing w:line="320" w:lineRule="exact"/>
        <w:ind w:firstLine="210" w:firstLineChars="10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因战争、自然灾害、系统故障等不可抗力导致理财产品无法正常运作；</w:t>
      </w:r>
    </w:p>
    <w:p>
      <w:pPr>
        <w:numPr>
          <w:ilvl w:val="0"/>
          <w:numId w:val="10"/>
        </w:numPr>
        <w:adjustRightInd w:val="0"/>
        <w:snapToGrid w:val="0"/>
        <w:spacing w:line="320" w:lineRule="exact"/>
        <w:ind w:firstLine="210" w:firstLineChars="10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发生《产品说明书》约定的暂停估值的情形时；</w:t>
      </w:r>
    </w:p>
    <w:p>
      <w:pPr>
        <w:numPr>
          <w:ilvl w:val="0"/>
          <w:numId w:val="10"/>
        </w:numPr>
        <w:adjustRightInd w:val="0"/>
        <w:snapToGrid w:val="0"/>
        <w:spacing w:line="320" w:lineRule="exact"/>
        <w:ind w:firstLine="210" w:firstLineChars="10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发生巨额赎回或连续巨额赎回的情形时；</w:t>
      </w:r>
    </w:p>
    <w:p>
      <w:pPr>
        <w:numPr>
          <w:ilvl w:val="0"/>
          <w:numId w:val="10"/>
        </w:numPr>
        <w:adjustRightInd w:val="0"/>
        <w:snapToGrid w:val="0"/>
        <w:spacing w:line="320" w:lineRule="exact"/>
        <w:ind w:firstLine="210" w:firstLineChars="10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当接受某笔或某些赎回申请可能对存量产品份额持有人利益构成潜在重大不利影响时；</w:t>
      </w:r>
    </w:p>
    <w:p>
      <w:pPr>
        <w:numPr>
          <w:ilvl w:val="0"/>
          <w:numId w:val="10"/>
        </w:numPr>
        <w:adjustRightInd w:val="0"/>
        <w:snapToGrid w:val="0"/>
        <w:spacing w:line="320" w:lineRule="exact"/>
        <w:ind w:firstLine="210" w:firstLineChars="10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发生赎回申请超过赎回上限时的情形；</w:t>
      </w:r>
    </w:p>
    <w:p>
      <w:pPr>
        <w:numPr>
          <w:ilvl w:val="0"/>
          <w:numId w:val="10"/>
        </w:numPr>
        <w:adjustRightInd w:val="0"/>
        <w:snapToGrid w:val="0"/>
        <w:spacing w:line="320" w:lineRule="exact"/>
        <w:ind w:firstLine="210" w:firstLineChars="10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发生单个投资者单个开放日申请赎回本产品份额超过上一交易日日终本产品总份额的10%的情形；</w:t>
      </w:r>
    </w:p>
    <w:p>
      <w:pPr>
        <w:numPr>
          <w:ilvl w:val="0"/>
          <w:numId w:val="10"/>
        </w:numPr>
        <w:adjustRightInd w:val="0"/>
        <w:snapToGrid w:val="0"/>
        <w:spacing w:line="320" w:lineRule="exact"/>
        <w:ind w:firstLine="210" w:firstLineChars="10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本产品说明书规定的其他情形。</w:t>
      </w:r>
    </w:p>
    <w:p>
      <w:pPr>
        <w:numPr>
          <w:ilvl w:val="0"/>
          <w:numId w:val="0"/>
        </w:numPr>
        <w:adjustRightInd w:val="0"/>
        <w:snapToGrid w:val="0"/>
        <w:spacing w:line="320" w:lineRule="exact"/>
        <w:ind w:firstLine="0" w:firstLineChars="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 xml:space="preserve">   当发生上述暂停接受赎回申请或延缓支付赎回款项的情形时，将在3个交易日内根据本《产品说明书》约定的信息披露方式向投资者进行信息披露。如投资者的全部或部分赎回申请被拒绝，投资者可将当日未能受理部分予以撤销。在上述暂停赎回或延缓支付的情况消除时，管理人将及时恢复赎回业务的办理。</w:t>
      </w:r>
    </w:p>
    <w:p>
      <w:pPr>
        <w:numPr>
          <w:ilvl w:val="0"/>
          <w:numId w:val="0"/>
        </w:numPr>
        <w:adjustRightInd w:val="0"/>
        <w:snapToGrid w:val="0"/>
        <w:spacing w:line="320" w:lineRule="exact"/>
        <w:ind w:firstLine="0" w:firstLineChars="0"/>
        <w:rPr>
          <w:rFonts w:hint="eastAsia" w:ascii="微软雅黑" w:hAnsi="微软雅黑" w:eastAsia="微软雅黑" w:cs="Arial"/>
          <w:szCs w:val="21"/>
          <w:lang w:val="en-US" w:eastAsia="zh-CN"/>
        </w:rPr>
      </w:pPr>
    </w:p>
    <w:p>
      <w:pPr>
        <w:numPr>
          <w:ilvl w:val="0"/>
          <w:numId w:val="11"/>
        </w:numPr>
        <w:adjustRightInd w:val="0"/>
        <w:snapToGrid w:val="0"/>
        <w:spacing w:line="320" w:lineRule="exact"/>
        <w:ind w:firstLine="420" w:firstLineChars="200"/>
        <w:rPr>
          <w:rFonts w:hint="eastAsia" w:ascii="微软雅黑" w:hAnsi="微软雅黑" w:eastAsia="微软雅黑" w:cs="Arial"/>
          <w:b/>
          <w:bCs/>
          <w:szCs w:val="21"/>
          <w:lang w:val="en-US" w:eastAsia="zh-CN"/>
        </w:rPr>
      </w:pPr>
      <w:r>
        <w:rPr>
          <w:rFonts w:hint="eastAsia" w:ascii="微软雅黑" w:hAnsi="微软雅黑" w:eastAsia="微软雅黑" w:cs="Arial"/>
          <w:b/>
          <w:bCs/>
          <w:szCs w:val="21"/>
          <w:lang w:val="en-US" w:eastAsia="zh-CN"/>
        </w:rPr>
        <w:t>产品收益说明</w:t>
      </w:r>
    </w:p>
    <w:p>
      <w:pPr>
        <w:numPr>
          <w:ilvl w:val="0"/>
          <w:numId w:val="0"/>
        </w:numPr>
        <w:adjustRightInd w:val="0"/>
        <w:snapToGrid w:val="0"/>
        <w:spacing w:line="320" w:lineRule="exact"/>
        <w:ind w:firstLine="0" w:firstLineChars="0"/>
        <w:rPr>
          <w:rFonts w:hint="eastAsia" w:ascii="微软雅黑" w:hAnsi="微软雅黑" w:eastAsia="微软雅黑" w:cs="Arial"/>
          <w:b/>
          <w:bCs/>
          <w:szCs w:val="21"/>
          <w:lang w:val="en-US" w:eastAsia="zh-CN"/>
        </w:rPr>
      </w:pPr>
      <w:r>
        <w:rPr>
          <w:rFonts w:hint="eastAsia" w:ascii="微软雅黑" w:hAnsi="微软雅黑" w:eastAsia="微软雅黑" w:cs="Arial"/>
          <w:b/>
          <w:bCs/>
          <w:szCs w:val="21"/>
          <w:lang w:val="en-US" w:eastAsia="zh-CN"/>
        </w:rPr>
        <w:t xml:space="preserve">   （一）产品收益分配原则</w:t>
      </w:r>
    </w:p>
    <w:p>
      <w:pPr>
        <w:numPr>
          <w:ilvl w:val="0"/>
          <w:numId w:val="0"/>
        </w:numPr>
        <w:adjustRightInd w:val="0"/>
        <w:snapToGrid w:val="0"/>
        <w:spacing w:line="320" w:lineRule="exact"/>
        <w:ind w:firstLine="0" w:firstLineChars="0"/>
        <w:rPr>
          <w:rFonts w:hint="default" w:ascii="微软雅黑" w:hAnsi="微软雅黑" w:eastAsia="微软雅黑" w:cs="Arial"/>
          <w:szCs w:val="21"/>
          <w:lang w:val="en-US" w:eastAsia="zh-CN"/>
        </w:rPr>
      </w:pPr>
      <w:r>
        <w:rPr>
          <w:rFonts w:hint="eastAsia" w:ascii="微软雅黑" w:hAnsi="微软雅黑" w:eastAsia="微软雅黑" w:cs="Arial"/>
          <w:szCs w:val="21"/>
          <w:lang w:val="en-US" w:eastAsia="zh-CN"/>
        </w:rPr>
        <w:t xml:space="preserve">    1. 每一产品份额享有同等分配权；</w:t>
      </w:r>
    </w:p>
    <w:p>
      <w:pPr>
        <w:numPr>
          <w:ilvl w:val="0"/>
          <w:numId w:val="0"/>
        </w:numPr>
        <w:adjustRightInd w:val="0"/>
        <w:snapToGrid w:val="0"/>
        <w:spacing w:line="320" w:lineRule="exact"/>
        <w:ind w:firstLine="420" w:firstLineChars="20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 xml:space="preserve">2. </w:t>
      </w:r>
      <w:r>
        <w:rPr>
          <w:rFonts w:hint="eastAsia" w:ascii="微软雅黑" w:hAnsi="微软雅黑" w:eastAsia="微软雅黑" w:cs="Times New Roman"/>
          <w:sz w:val="21"/>
          <w:szCs w:val="21"/>
          <w:highlight w:val="none"/>
        </w:rPr>
        <w:t>本</w:t>
      </w:r>
      <w:r>
        <w:rPr>
          <w:rFonts w:hint="eastAsia" w:ascii="微软雅黑" w:hAnsi="微软雅黑" w:eastAsia="微软雅黑" w:cs="Times New Roman"/>
          <w:sz w:val="21"/>
          <w:szCs w:val="21"/>
          <w:highlight w:val="none"/>
          <w:lang w:val="en-US" w:eastAsia="zh-CN"/>
        </w:rPr>
        <w:t>产品</w:t>
      </w:r>
      <w:r>
        <w:rPr>
          <w:rFonts w:hint="eastAsia" w:ascii="微软雅黑" w:hAnsi="微软雅黑" w:eastAsia="微软雅黑" w:cs="Times New Roman"/>
          <w:sz w:val="21"/>
          <w:szCs w:val="21"/>
          <w:highlight w:val="none"/>
        </w:rPr>
        <w:t>根据每日收益情况，以</w:t>
      </w:r>
      <w:r>
        <w:rPr>
          <w:rFonts w:hint="eastAsia" w:ascii="微软雅黑" w:hAnsi="微软雅黑" w:eastAsia="微软雅黑" w:cs="Times New Roman"/>
          <w:sz w:val="21"/>
          <w:szCs w:val="21"/>
          <w:highlight w:val="none"/>
          <w:lang w:val="en-US" w:eastAsia="zh-CN"/>
        </w:rPr>
        <w:t>产品</w:t>
      </w:r>
      <w:r>
        <w:rPr>
          <w:rFonts w:hint="eastAsia" w:ascii="微软雅黑" w:hAnsi="微软雅黑" w:eastAsia="微软雅黑" w:cs="Times New Roman"/>
          <w:sz w:val="21"/>
          <w:szCs w:val="21"/>
          <w:highlight w:val="none"/>
        </w:rPr>
        <w:t>实际收益为基准，每日为投资者计提当日理财收益，每日结转份额</w:t>
      </w:r>
      <w:r>
        <w:rPr>
          <w:rFonts w:hint="eastAsia" w:ascii="微软雅黑" w:hAnsi="微软雅黑" w:eastAsia="微软雅黑" w:cs="Times New Roman"/>
          <w:sz w:val="21"/>
          <w:szCs w:val="21"/>
          <w:highlight w:val="none"/>
          <w:lang w:eastAsia="zh-CN"/>
        </w:rPr>
        <w:t>，</w:t>
      </w:r>
      <w:r>
        <w:rPr>
          <w:rFonts w:hint="eastAsia" w:ascii="微软雅黑" w:hAnsi="微软雅黑" w:eastAsia="微软雅黑" w:cs="Times New Roman"/>
          <w:sz w:val="21"/>
          <w:szCs w:val="21"/>
          <w:highlight w:val="none"/>
          <w:lang w:val="en-US" w:eastAsia="zh-CN"/>
        </w:rPr>
        <w:t>并</w:t>
      </w:r>
      <w:r>
        <w:rPr>
          <w:rFonts w:hint="eastAsia" w:ascii="微软雅黑" w:hAnsi="微软雅黑" w:eastAsia="微软雅黑"/>
          <w:szCs w:val="21"/>
          <w:lang w:val="en-US" w:eastAsia="zh-CN"/>
        </w:rPr>
        <w:t>参与下一日产品的运作和收益分配</w:t>
      </w:r>
      <w:r>
        <w:rPr>
          <w:rFonts w:hint="eastAsia" w:ascii="微软雅黑" w:hAnsi="微软雅黑" w:eastAsia="微软雅黑" w:cs="Arial"/>
          <w:szCs w:val="21"/>
          <w:lang w:val="en-US" w:eastAsia="zh-CN"/>
        </w:rPr>
        <w:t>。产品管理人根据每日收益情况，将当日收益全部分配，若当日已实现收益大于零时，为投资者记正收益；若当日已实现收益小于零时，为投资者记负收益；若当日已实现收益等于零时，当日投资者不记收益；</w:t>
      </w:r>
    </w:p>
    <w:p>
      <w:pPr>
        <w:numPr>
          <w:ilvl w:val="0"/>
          <w:numId w:val="0"/>
        </w:numPr>
        <w:adjustRightInd w:val="0"/>
        <w:snapToGrid w:val="0"/>
        <w:spacing w:line="320" w:lineRule="exact"/>
        <w:ind w:firstLine="420" w:firstLineChars="20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3. 若产品当日已实现收益大于零时，则增加投资者持有的产品份额；若产品当日已实现收益等于零时，则保持投资者持有的产品份额不变；产品管理人将采取必要措施尽量避免产品已实现收益小于零，若当日已实现收益小于零时，则缩减投资者份额；</w:t>
      </w:r>
    </w:p>
    <w:p>
      <w:pPr>
        <w:numPr>
          <w:ilvl w:val="0"/>
          <w:numId w:val="0"/>
        </w:numPr>
        <w:adjustRightInd w:val="0"/>
        <w:snapToGrid w:val="0"/>
        <w:spacing w:line="320" w:lineRule="exact"/>
        <w:ind w:firstLine="420" w:firstLineChars="200"/>
        <w:rPr>
          <w:rFonts w:hint="eastAsia" w:ascii="微软雅黑" w:hAnsi="微软雅黑" w:eastAsia="微软雅黑" w:cs="Arial"/>
          <w:b/>
          <w:bCs/>
          <w:szCs w:val="21"/>
          <w:lang w:val="en-US" w:eastAsia="zh-CN"/>
        </w:rPr>
      </w:pPr>
      <w:r>
        <w:rPr>
          <w:rFonts w:hint="eastAsia" w:ascii="微软雅黑" w:hAnsi="微软雅黑" w:eastAsia="微软雅黑" w:cs="Arial"/>
          <w:szCs w:val="21"/>
          <w:lang w:val="en-US" w:eastAsia="zh-CN"/>
        </w:rPr>
        <w:t>4. 投资者当日申购且成功确认的份额自下一个工作日起，享有产品的收益分配权；当日赎回且成功确认的产品份额自下一个工作日起，</w:t>
      </w:r>
      <w:r>
        <w:rPr>
          <w:rFonts w:hint="eastAsia" w:ascii="微软雅黑" w:hAnsi="微软雅黑" w:eastAsia="微软雅黑" w:cs="Arial"/>
          <w:sz w:val="21"/>
          <w:szCs w:val="21"/>
          <w:lang w:val="en-US" w:eastAsia="zh-CN"/>
        </w:rPr>
        <w:t>投资者不得再主张该赎回产品份额的任何权利义务，具体包括但不限于收益分配权益等</w:t>
      </w:r>
      <w:r>
        <w:rPr>
          <w:rFonts w:hint="eastAsia" w:ascii="微软雅黑" w:hAnsi="微软雅黑" w:eastAsia="微软雅黑" w:cs="Arial"/>
          <w:szCs w:val="21"/>
          <w:lang w:val="en-US" w:eastAsia="zh-CN"/>
        </w:rPr>
        <w:t>。</w:t>
      </w:r>
      <w:r>
        <w:rPr>
          <w:rFonts w:hint="eastAsia" w:ascii="微软雅黑" w:hAnsi="微软雅黑" w:eastAsia="微软雅黑" w:cs="Arial"/>
          <w:b/>
          <w:bCs/>
          <w:szCs w:val="21"/>
          <w:lang w:val="en-US" w:eastAsia="zh-CN"/>
        </w:rPr>
        <w:t>投资者适用快速赎回服务时，不享受赎回份额在赎回申请日及之后的收益。适用快速赎回服务时，具体以《珠海华润银行润日升理财产品快速赎回服务协议》约定为准；</w:t>
      </w:r>
    </w:p>
    <w:p>
      <w:pPr>
        <w:numPr>
          <w:ilvl w:val="0"/>
          <w:numId w:val="0"/>
        </w:numPr>
        <w:adjustRightInd w:val="0"/>
        <w:snapToGrid w:val="0"/>
        <w:spacing w:line="320" w:lineRule="exact"/>
        <w:ind w:firstLine="420" w:firstLineChars="20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5. 法律、法规或监管机构另有规定的，从其规定。</w:t>
      </w:r>
    </w:p>
    <w:p>
      <w:pPr>
        <w:numPr>
          <w:ilvl w:val="0"/>
          <w:numId w:val="0"/>
        </w:numPr>
        <w:adjustRightInd w:val="0"/>
        <w:snapToGrid w:val="0"/>
        <w:spacing w:line="320" w:lineRule="exact"/>
        <w:ind w:firstLine="420" w:firstLineChars="200"/>
        <w:rPr>
          <w:rFonts w:hint="eastAsia" w:ascii="微软雅黑" w:hAnsi="微软雅黑" w:eastAsia="微软雅黑" w:cs="Arial"/>
          <w:b/>
          <w:bCs/>
          <w:szCs w:val="21"/>
          <w:lang w:val="en-US" w:eastAsia="zh-CN"/>
        </w:rPr>
      </w:pPr>
      <w:r>
        <w:rPr>
          <w:rFonts w:hint="eastAsia" w:ascii="微软雅黑" w:hAnsi="微软雅黑" w:eastAsia="微软雅黑" w:cs="Arial"/>
          <w:b/>
          <w:bCs/>
          <w:szCs w:val="21"/>
          <w:lang w:val="en-US" w:eastAsia="zh-CN"/>
        </w:rPr>
        <w:t>（二）客户收益</w:t>
      </w:r>
    </w:p>
    <w:p>
      <w:pPr>
        <w:numPr>
          <w:ilvl w:val="0"/>
          <w:numId w:val="0"/>
        </w:numPr>
        <w:adjustRightInd w:val="0"/>
        <w:snapToGrid w:val="0"/>
        <w:spacing w:line="320" w:lineRule="exact"/>
        <w:ind w:firstLine="420" w:firstLineChars="20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客户本金和收益=M0*P0</w:t>
      </w:r>
    </w:p>
    <w:p>
      <w:pPr>
        <w:numPr>
          <w:ilvl w:val="0"/>
          <w:numId w:val="0"/>
        </w:numPr>
        <w:adjustRightInd w:val="0"/>
        <w:snapToGrid w:val="0"/>
        <w:spacing w:line="320" w:lineRule="exact"/>
        <w:ind w:firstLine="420" w:firstLineChars="20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M0：客户持有份额</w:t>
      </w:r>
    </w:p>
    <w:p>
      <w:pPr>
        <w:numPr>
          <w:ilvl w:val="0"/>
          <w:numId w:val="0"/>
        </w:numPr>
        <w:adjustRightInd w:val="0"/>
        <w:snapToGrid w:val="0"/>
        <w:spacing w:line="320" w:lineRule="exact"/>
        <w:ind w:firstLine="420" w:firstLineChars="20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P0：客户赎回时产品份额净值</w:t>
      </w:r>
    </w:p>
    <w:p>
      <w:pPr>
        <w:numPr>
          <w:ilvl w:val="0"/>
          <w:numId w:val="0"/>
        </w:numPr>
        <w:adjustRightInd w:val="0"/>
        <w:snapToGrid w:val="0"/>
        <w:spacing w:line="320" w:lineRule="exact"/>
        <w:ind w:firstLine="420" w:firstLineChars="20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测算收益不等于实际收益，投资须谨慎。</w:t>
      </w:r>
    </w:p>
    <w:p>
      <w:pPr>
        <w:numPr>
          <w:ilvl w:val="0"/>
          <w:numId w:val="0"/>
        </w:numPr>
        <w:adjustRightInd w:val="0"/>
        <w:snapToGrid w:val="0"/>
        <w:spacing w:line="320" w:lineRule="exact"/>
        <w:ind w:firstLine="420" w:firstLineChars="20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计算示例：</w:t>
      </w:r>
    </w:p>
    <w:p>
      <w:pPr>
        <w:numPr>
          <w:ilvl w:val="0"/>
          <w:numId w:val="0"/>
        </w:numPr>
        <w:adjustRightInd w:val="0"/>
        <w:snapToGrid w:val="0"/>
        <w:spacing w:line="320" w:lineRule="exact"/>
        <w:ind w:firstLine="420" w:firstLineChars="20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情景1：假设客户于T-1日（开放日前一工作日）15:00前申请购买本产品，投资本金为100,000.00元，则客户T日确认份额为：</w:t>
      </w:r>
    </w:p>
    <w:p>
      <w:pPr>
        <w:numPr>
          <w:ilvl w:val="0"/>
          <w:numId w:val="0"/>
        </w:numPr>
        <w:adjustRightInd w:val="0"/>
        <w:snapToGrid w:val="0"/>
        <w:spacing w:line="320" w:lineRule="exact"/>
        <w:ind w:firstLine="420" w:firstLineChars="20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客户持有份额=100,000.00÷1.00=100,000.00（份）</w:t>
      </w:r>
    </w:p>
    <w:p>
      <w:pPr>
        <w:numPr>
          <w:ilvl w:val="0"/>
          <w:numId w:val="0"/>
        </w:numPr>
        <w:adjustRightInd w:val="0"/>
        <w:snapToGrid w:val="0"/>
        <w:spacing w:line="320" w:lineRule="exact"/>
        <w:ind w:firstLine="420" w:firstLineChars="20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情景2：假设投资者投资本金100,000.00元，经申购确认份额100,000.00份。假设在持有期间没有任何交易，客户于T-1日（开放日前一工作日）15:00前申请赎回本产品，客户T日确认赎回份额为100,160.00份，则兑付客户的本金和收益为：</w:t>
      </w:r>
    </w:p>
    <w:p>
      <w:pPr>
        <w:numPr>
          <w:ilvl w:val="0"/>
          <w:numId w:val="0"/>
        </w:numPr>
        <w:adjustRightInd w:val="0"/>
        <w:snapToGrid w:val="0"/>
        <w:spacing w:line="320" w:lineRule="exact"/>
        <w:ind w:firstLine="420" w:firstLineChars="20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100,160.00×1.00=100,160.00（元）</w:t>
      </w:r>
    </w:p>
    <w:p>
      <w:pPr>
        <w:numPr>
          <w:ilvl w:val="0"/>
          <w:numId w:val="0"/>
        </w:numPr>
        <w:adjustRightInd w:val="0"/>
        <w:snapToGrid w:val="0"/>
        <w:spacing w:line="320" w:lineRule="exact"/>
        <w:ind w:firstLine="420" w:firstLineChars="20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情景3：假设投资者投资本金100,000.00元，经申购确认份额100,000.00份。假设在持有期间发生基础资产无法收回本金和收益的不利情况，客户可能会损失本金。假设客户于T-1日（开放日前一工作日）15:00前赎回本产品，客户T日确认赎回份额为99,996.00份，则兑付客户的本金和收益为：</w:t>
      </w:r>
    </w:p>
    <w:p>
      <w:pPr>
        <w:numPr>
          <w:ilvl w:val="0"/>
          <w:numId w:val="0"/>
        </w:numPr>
        <w:adjustRightInd w:val="0"/>
        <w:snapToGrid w:val="0"/>
        <w:spacing w:line="320" w:lineRule="exact"/>
        <w:ind w:firstLine="420" w:firstLineChars="20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99,996.00×1.00=99,996.00（元）</w:t>
      </w:r>
    </w:p>
    <w:p>
      <w:pPr>
        <w:numPr>
          <w:ilvl w:val="0"/>
          <w:numId w:val="0"/>
        </w:numPr>
        <w:adjustRightInd w:val="0"/>
        <w:snapToGrid w:val="0"/>
        <w:spacing w:line="320" w:lineRule="exact"/>
        <w:ind w:firstLine="420" w:firstLineChars="200"/>
        <w:rPr>
          <w:rFonts w:hint="eastAsia" w:ascii="微软雅黑" w:hAnsi="微软雅黑" w:eastAsia="微软雅黑" w:cs="Arial"/>
          <w:szCs w:val="21"/>
          <w:lang w:val="en-US" w:eastAsia="zh-CN"/>
        </w:rPr>
      </w:pPr>
      <w:r>
        <w:rPr>
          <w:rFonts w:hint="eastAsia" w:ascii="微软雅黑" w:hAnsi="微软雅黑" w:eastAsia="微软雅黑" w:cs="Arial"/>
          <w:szCs w:val="21"/>
          <w:lang w:val="en-US" w:eastAsia="zh-CN"/>
        </w:rPr>
        <w:t>最不利的投资情形和投资结果，主要体现为：一是产品到期可能发生的延期支付；二是产品投资的资产折价变现，可能影响产品收益实现。产生上述可能结果的原因主要包括：一是投资的资产或资产组合目前受限于二级流动市场缺失，存在流动性风险；二是投资的债券等受市场价格波动影响，存在市场风险；三是投资的资产或资产组合涉及的债券发行人/其他义务人因违约造成的风险。如发生上述最不利的投资情形和投资结果，客户将面临本金和收益损失的风险。</w:t>
      </w:r>
    </w:p>
    <w:p>
      <w:pPr>
        <w:numPr>
          <w:ilvl w:val="0"/>
          <w:numId w:val="0"/>
        </w:numPr>
        <w:adjustRightInd w:val="0"/>
        <w:snapToGrid w:val="0"/>
        <w:spacing w:line="320" w:lineRule="exact"/>
        <w:ind w:firstLine="420" w:firstLineChars="200"/>
        <w:rPr>
          <w:rFonts w:hint="default" w:ascii="微软雅黑" w:hAnsi="微软雅黑" w:eastAsia="微软雅黑" w:cs="Arial"/>
          <w:b/>
          <w:bCs/>
          <w:szCs w:val="21"/>
          <w:lang w:val="en-US" w:eastAsia="zh-CN"/>
        </w:rPr>
      </w:pPr>
      <w:r>
        <w:rPr>
          <w:rFonts w:hint="eastAsia" w:ascii="微软雅黑" w:hAnsi="微软雅黑" w:eastAsia="微软雅黑" w:cs="Arial"/>
          <w:b/>
          <w:bCs/>
          <w:szCs w:val="21"/>
          <w:lang w:val="en-US" w:eastAsia="zh-CN"/>
        </w:rPr>
        <w:t>（上述示例采用假设数据计算，测算收益不等于实际收益，不代表以上的所有情形或某一情形一定会发生，客户所获得的投资收益以实际投资结果为准。）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lang w:eastAsia="zh-CN"/>
        </w:rPr>
        <w:t>六</w:t>
      </w:r>
      <w:r>
        <w:rPr>
          <w:rFonts w:hint="eastAsia" w:ascii="微软雅黑" w:hAnsi="微软雅黑" w:eastAsia="微软雅黑" w:cs="Arial"/>
          <w:b/>
          <w:szCs w:val="21"/>
        </w:rPr>
        <w:t>、理财产品终止</w:t>
      </w:r>
    </w:p>
    <w:p>
      <w:pPr>
        <w:spacing w:line="320" w:lineRule="exact"/>
        <w:ind w:firstLine="420" w:firstLineChars="200"/>
        <w:rPr>
          <w:rFonts w:ascii="微软雅黑" w:hAnsi="微软雅黑" w:eastAsia="微软雅黑"/>
          <w:b/>
          <w:bCs/>
          <w:szCs w:val="21"/>
        </w:rPr>
      </w:pPr>
      <w:r>
        <w:rPr>
          <w:rFonts w:hint="eastAsia" w:ascii="微软雅黑" w:hAnsi="微软雅黑" w:eastAsia="微软雅黑"/>
          <w:b/>
          <w:bCs/>
          <w:szCs w:val="21"/>
          <w:lang w:eastAsia="zh-CN"/>
        </w:rPr>
        <w:t>（</w:t>
      </w:r>
      <w:r>
        <w:rPr>
          <w:rFonts w:hint="eastAsia" w:ascii="微软雅黑" w:hAnsi="微软雅黑" w:eastAsia="微软雅黑"/>
          <w:b/>
          <w:bCs/>
          <w:szCs w:val="21"/>
          <w:lang w:val="en-US" w:eastAsia="zh-CN"/>
        </w:rPr>
        <w:t>一）</w:t>
      </w:r>
      <w:r>
        <w:rPr>
          <w:rFonts w:hint="eastAsia" w:ascii="微软雅黑" w:hAnsi="微软雅黑" w:eastAsia="微软雅黑"/>
          <w:b/>
          <w:bCs/>
          <w:szCs w:val="21"/>
        </w:rPr>
        <w:t>产品终止情形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本理财产品成立后，如出现如下情形，珠海华润银行在提前公告的情况下，有权但无义务终止本产品：</w:t>
      </w:r>
    </w:p>
    <w:p>
      <w:pPr>
        <w:numPr>
          <w:ilvl w:val="0"/>
          <w:numId w:val="12"/>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珠海华润银行根据实际投资运作情况，决定终止本产品；</w:t>
      </w:r>
    </w:p>
    <w:p>
      <w:pPr>
        <w:numPr>
          <w:ilvl w:val="0"/>
          <w:numId w:val="12"/>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因不可抗力因素导致本产品无法继续运作；</w:t>
      </w:r>
    </w:p>
    <w:p>
      <w:pPr>
        <w:numPr>
          <w:ilvl w:val="0"/>
          <w:numId w:val="12"/>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因市场剧烈波动、异常风险事件、相关投资机构变动等原因导致理财产品净值大幅波动或严重影响理财产品的资产安全；</w:t>
      </w:r>
    </w:p>
    <w:p>
      <w:pPr>
        <w:numPr>
          <w:ilvl w:val="0"/>
          <w:numId w:val="12"/>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因法律法规变化或国家金融政策调整及其他不可抗力因素导致本理财产品无法继续运作；</w:t>
      </w:r>
    </w:p>
    <w:p>
      <w:pPr>
        <w:numPr>
          <w:ilvl w:val="0"/>
          <w:numId w:val="12"/>
        </w:num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法律法规规定或监管部门认定的其他情形导致本产品终止。</w:t>
      </w:r>
    </w:p>
    <w:p>
      <w:pPr>
        <w:spacing w:line="320" w:lineRule="exact"/>
        <w:ind w:firstLine="420" w:firstLineChars="200"/>
        <w:jc w:val="left"/>
        <w:rPr>
          <w:rFonts w:ascii="微软雅黑" w:hAnsi="微软雅黑" w:eastAsia="微软雅黑"/>
          <w:b/>
          <w:bCs/>
          <w:szCs w:val="21"/>
        </w:rPr>
      </w:pPr>
      <w:r>
        <w:rPr>
          <w:rFonts w:hint="eastAsia" w:ascii="微软雅黑" w:hAnsi="微软雅黑" w:eastAsia="微软雅黑"/>
          <w:b/>
          <w:bCs/>
          <w:szCs w:val="21"/>
          <w:lang w:eastAsia="zh-CN"/>
        </w:rPr>
        <w:t>（</w:t>
      </w:r>
      <w:r>
        <w:rPr>
          <w:rFonts w:hint="eastAsia" w:ascii="微软雅黑" w:hAnsi="微软雅黑" w:eastAsia="微软雅黑"/>
          <w:b/>
          <w:bCs/>
          <w:szCs w:val="21"/>
          <w:lang w:val="en-US" w:eastAsia="zh-CN"/>
        </w:rPr>
        <w:t>二）</w:t>
      </w:r>
      <w:r>
        <w:rPr>
          <w:rFonts w:hint="eastAsia" w:ascii="微软雅黑" w:hAnsi="微软雅黑" w:eastAsia="微软雅黑"/>
          <w:b/>
          <w:bCs/>
          <w:szCs w:val="21"/>
        </w:rPr>
        <w:t>资金到账日</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理财</w:t>
      </w:r>
      <w:r>
        <w:rPr>
          <w:rFonts w:hint="eastAsia" w:ascii="微软雅黑" w:hAnsi="微软雅黑" w:eastAsia="微软雅黑"/>
          <w:szCs w:val="21"/>
        </w:rPr>
        <w:t>产品终止后</w:t>
      </w:r>
      <w:r>
        <w:rPr>
          <w:rFonts w:ascii="微软雅黑" w:hAnsi="微软雅黑" w:eastAsia="微软雅黑"/>
          <w:szCs w:val="21"/>
        </w:rPr>
        <w:t>，如理财</w:t>
      </w:r>
      <w:r>
        <w:rPr>
          <w:rFonts w:hint="eastAsia" w:ascii="微软雅黑" w:hAnsi="微软雅黑" w:eastAsia="微软雅黑"/>
          <w:szCs w:val="21"/>
        </w:rPr>
        <w:t>产品</w:t>
      </w:r>
      <w:r>
        <w:rPr>
          <w:rFonts w:ascii="微软雅黑" w:hAnsi="微软雅黑" w:eastAsia="微软雅黑"/>
          <w:szCs w:val="21"/>
        </w:rPr>
        <w:t>项下</w:t>
      </w:r>
      <w:r>
        <w:rPr>
          <w:rFonts w:hint="eastAsia" w:ascii="微软雅黑" w:hAnsi="微软雅黑" w:eastAsia="微软雅黑"/>
          <w:szCs w:val="21"/>
        </w:rPr>
        <w:t>资产</w:t>
      </w:r>
      <w:r>
        <w:rPr>
          <w:rFonts w:ascii="微软雅黑" w:hAnsi="微软雅黑" w:eastAsia="微软雅黑"/>
          <w:szCs w:val="21"/>
        </w:rPr>
        <w:t>全部变现，珠海华润银行在</w:t>
      </w:r>
      <w:r>
        <w:rPr>
          <w:rFonts w:hint="eastAsia" w:ascii="微软雅黑" w:hAnsi="微软雅黑" w:eastAsia="微软雅黑"/>
          <w:szCs w:val="21"/>
        </w:rPr>
        <w:t>产品终止日</w:t>
      </w:r>
      <w:r>
        <w:rPr>
          <w:rFonts w:ascii="微软雅黑" w:hAnsi="微软雅黑" w:eastAsia="微软雅黑"/>
          <w:szCs w:val="21"/>
        </w:rPr>
        <w:t>后</w:t>
      </w:r>
      <w:r>
        <w:rPr>
          <w:rFonts w:hint="eastAsia" w:ascii="微软雅黑" w:hAnsi="微软雅黑" w:eastAsia="微软雅黑"/>
          <w:szCs w:val="21"/>
        </w:rPr>
        <w:t>5</w:t>
      </w:r>
      <w:r>
        <w:rPr>
          <w:rFonts w:ascii="微软雅黑" w:hAnsi="微软雅黑" w:eastAsia="微软雅黑"/>
          <w:szCs w:val="21"/>
        </w:rPr>
        <w:t>个工作日内将</w:t>
      </w:r>
      <w:r>
        <w:rPr>
          <w:rFonts w:hint="eastAsia" w:ascii="微软雅黑" w:hAnsi="微软雅黑" w:eastAsia="微软雅黑"/>
          <w:szCs w:val="21"/>
          <w:lang w:eastAsia="zh-CN"/>
        </w:rPr>
        <w:t>投资者</w:t>
      </w:r>
      <w:r>
        <w:rPr>
          <w:rFonts w:ascii="微软雅黑" w:hAnsi="微软雅黑" w:eastAsia="微软雅黑"/>
          <w:szCs w:val="21"/>
        </w:rPr>
        <w:t>应得资金划转至</w:t>
      </w:r>
      <w:r>
        <w:rPr>
          <w:rFonts w:hint="eastAsia" w:ascii="微软雅黑" w:hAnsi="微软雅黑" w:eastAsia="微软雅黑"/>
          <w:szCs w:val="21"/>
          <w:lang w:eastAsia="zh-CN"/>
        </w:rPr>
        <w:t>投资者</w:t>
      </w:r>
      <w:r>
        <w:rPr>
          <w:rFonts w:ascii="微软雅黑" w:hAnsi="微软雅黑" w:eastAsia="微软雅黑"/>
          <w:szCs w:val="21"/>
        </w:rPr>
        <w:t>指定账户。</w:t>
      </w:r>
      <w:r>
        <w:rPr>
          <w:rFonts w:hint="eastAsia" w:ascii="微软雅黑" w:hAnsi="微软雅黑" w:eastAsia="微软雅黑"/>
          <w:szCs w:val="21"/>
        </w:rPr>
        <w:t>理财产品终止日至理财资金到账日为清算期，清算期内不计付利息。清算期逢节假日顺延。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理财</w:t>
      </w:r>
      <w:r>
        <w:rPr>
          <w:rFonts w:hint="eastAsia" w:ascii="微软雅黑" w:hAnsi="微软雅黑" w:eastAsia="微软雅黑"/>
          <w:szCs w:val="21"/>
        </w:rPr>
        <w:t>产品终止后</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w:t>
      </w:r>
      <w:r>
        <w:rPr>
          <w:rFonts w:hint="eastAsia" w:ascii="微软雅黑" w:hAnsi="微软雅黑" w:eastAsia="微软雅黑"/>
          <w:szCs w:val="21"/>
        </w:rPr>
        <w:t>份额</w:t>
      </w:r>
      <w:r>
        <w:rPr>
          <w:rFonts w:ascii="微软雅黑" w:hAnsi="微软雅黑" w:eastAsia="微软雅黑"/>
          <w:szCs w:val="21"/>
        </w:rPr>
        <w:t>比例进行分配，将暂时无法变现的其他投资组合资产恢复交易或通过其他途径变现后，</w:t>
      </w:r>
      <w:r>
        <w:rPr>
          <w:rFonts w:hint="eastAsia" w:ascii="微软雅黑" w:hAnsi="微软雅黑" w:eastAsia="微软雅黑"/>
          <w:szCs w:val="21"/>
        </w:rPr>
        <w:t>珠海华润银行</w:t>
      </w:r>
      <w:r>
        <w:rPr>
          <w:rFonts w:ascii="微软雅黑" w:hAnsi="微软雅黑" w:eastAsia="微软雅黑"/>
          <w:szCs w:val="21"/>
        </w:rPr>
        <w:t>再就该部分资产进行分配。本理财</w:t>
      </w:r>
      <w:r>
        <w:rPr>
          <w:rFonts w:hint="eastAsia" w:ascii="微软雅黑" w:hAnsi="微软雅黑" w:eastAsia="微软雅黑"/>
          <w:szCs w:val="21"/>
        </w:rPr>
        <w:t>产品</w:t>
      </w:r>
      <w:r>
        <w:rPr>
          <w:rFonts w:ascii="微软雅黑" w:hAnsi="微软雅黑" w:eastAsia="微软雅黑"/>
          <w:szCs w:val="21"/>
        </w:rPr>
        <w:t>的</w:t>
      </w:r>
      <w:r>
        <w:rPr>
          <w:rFonts w:hint="eastAsia" w:ascii="微软雅黑" w:hAnsi="微软雅黑" w:eastAsia="微软雅黑"/>
          <w:szCs w:val="21"/>
        </w:rPr>
        <w:t>资金到账</w:t>
      </w:r>
      <w:r>
        <w:rPr>
          <w:rFonts w:ascii="微软雅黑" w:hAnsi="微软雅黑" w:eastAsia="微软雅黑"/>
          <w:szCs w:val="21"/>
        </w:rPr>
        <w:t>日将相应延长</w:t>
      </w:r>
      <w:r>
        <w:rPr>
          <w:rFonts w:hint="eastAsia" w:ascii="微软雅黑" w:hAnsi="微软雅黑" w:eastAsia="微软雅黑"/>
          <w:szCs w:val="21"/>
        </w:rPr>
        <w:t>，具体请以珠海华润银行公告为准。</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b/>
          <w:bCs/>
          <w:szCs w:val="21"/>
        </w:rPr>
      </w:pPr>
      <w:r>
        <w:rPr>
          <w:rFonts w:hint="eastAsia" w:ascii="微软雅黑" w:hAnsi="微软雅黑" w:eastAsia="微软雅黑"/>
          <w:b/>
          <w:bCs/>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珠海华润银行对本理财产品每日进行估值，并将于每个产品开放日进行公布。。</w:t>
      </w:r>
    </w:p>
    <w:p>
      <w:pPr>
        <w:spacing w:line="320" w:lineRule="exact"/>
        <w:ind w:firstLine="420" w:firstLineChars="200"/>
        <w:rPr>
          <w:rFonts w:ascii="微软雅黑" w:hAnsi="微软雅黑" w:eastAsia="微软雅黑"/>
          <w:b/>
          <w:bCs/>
          <w:szCs w:val="21"/>
        </w:rPr>
      </w:pPr>
      <w:r>
        <w:rPr>
          <w:rFonts w:hint="eastAsia" w:ascii="微软雅黑" w:hAnsi="微软雅黑" w:eastAsia="微软雅黑"/>
          <w:b/>
          <w:bCs/>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b/>
          <w:bCs/>
          <w:szCs w:val="21"/>
        </w:rPr>
      </w:pPr>
      <w:r>
        <w:rPr>
          <w:rFonts w:hint="eastAsia" w:ascii="微软雅黑" w:hAnsi="微软雅黑" w:eastAsia="微软雅黑"/>
          <w:b/>
          <w:bCs/>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按照摊余成本法进行估值，即计价对象以买入成本列示，按票面利率或协议利率并考虑其买入时的溢价与折价，在剩余存续期内按实际利率法摊销，每日计提损益。本理财产品不采用上市交易的债券和票据的市价计算资产净值。</w:t>
      </w:r>
    </w:p>
    <w:p>
      <w:pPr>
        <w:spacing w:line="320" w:lineRule="exact"/>
        <w:ind w:firstLine="420" w:firstLineChars="200"/>
        <w:rPr>
          <w:rFonts w:hint="eastAsia" w:ascii="微软雅黑" w:hAnsi="微软雅黑" w:eastAsia="微软雅黑"/>
          <w:szCs w:val="21"/>
        </w:rPr>
      </w:pPr>
      <w:r>
        <w:rPr>
          <w:rFonts w:ascii="微软雅黑" w:hAnsi="微软雅黑" w:eastAsia="微软雅黑"/>
          <w:szCs w:val="21"/>
        </w:rPr>
        <w:t>为了避免采用“摊余成本法”计算的</w:t>
      </w:r>
      <w:r>
        <w:rPr>
          <w:rFonts w:hint="eastAsia" w:ascii="微软雅黑" w:hAnsi="微软雅黑" w:eastAsia="微软雅黑"/>
          <w:szCs w:val="21"/>
        </w:rPr>
        <w:t>产品</w:t>
      </w:r>
      <w:r>
        <w:rPr>
          <w:rFonts w:ascii="微软雅黑" w:hAnsi="微软雅黑" w:eastAsia="微软雅黑"/>
          <w:szCs w:val="21"/>
        </w:rPr>
        <w:t>资产净值与按市场利率和交易市价计算的</w:t>
      </w:r>
      <w:r>
        <w:rPr>
          <w:rFonts w:hint="eastAsia" w:ascii="微软雅黑" w:hAnsi="微软雅黑" w:eastAsia="微软雅黑"/>
          <w:szCs w:val="21"/>
        </w:rPr>
        <w:t>资产净值发生重大偏离，从而对本产品份额持有人的利益产生稀释和不公平的结果，产品管理人于每一估值日，采用估值技术对产品项下各类资产进行重新评估，即</w:t>
      </w:r>
      <w:r>
        <w:rPr>
          <w:rFonts w:ascii="微软雅黑" w:hAnsi="微软雅黑" w:eastAsia="微软雅黑"/>
          <w:szCs w:val="21"/>
        </w:rPr>
        <w:t>"</w:t>
      </w:r>
      <w:r>
        <w:rPr>
          <w:rFonts w:hint="eastAsia" w:ascii="微软雅黑" w:hAnsi="微软雅黑" w:eastAsia="微软雅黑"/>
          <w:szCs w:val="21"/>
        </w:rPr>
        <w:t>影子定价</w:t>
      </w:r>
      <w:r>
        <w:rPr>
          <w:rFonts w:ascii="微软雅黑" w:hAnsi="微软雅黑" w:eastAsia="微软雅黑"/>
          <w:szCs w:val="21"/>
        </w:rPr>
        <w:t>"</w:t>
      </w:r>
      <w:r>
        <w:rPr>
          <w:rFonts w:hint="eastAsia" w:ascii="微软雅黑" w:hAnsi="微软雅黑" w:eastAsia="微软雅黑"/>
          <w:szCs w:val="21"/>
        </w:rPr>
        <w:t>。当影子定价确定的产品资产净值与摊余成本法计算的产品资产净值的偏离度的绝对值达到或超过</w:t>
      </w:r>
      <w:r>
        <w:rPr>
          <w:rFonts w:ascii="微软雅黑" w:hAnsi="微软雅黑" w:eastAsia="微软雅黑"/>
          <w:szCs w:val="21"/>
        </w:rPr>
        <w:t>0.5%</w:t>
      </w:r>
      <w:r>
        <w:rPr>
          <w:rFonts w:hint="eastAsia" w:ascii="微软雅黑" w:hAnsi="微软雅黑" w:eastAsia="微软雅黑"/>
          <w:szCs w:val="21"/>
        </w:rPr>
        <w:t>时，产品管理人应根据风险控制的需要调整组合。</w:t>
      </w:r>
    </w:p>
    <w:p>
      <w:pPr>
        <w:spacing w:line="320" w:lineRule="exact"/>
        <w:ind w:firstLine="420" w:firstLineChars="200"/>
        <w:rPr>
          <w:rFonts w:hint="eastAsia" w:ascii="微软雅黑" w:hAnsi="微软雅黑" w:eastAsia="微软雅黑"/>
          <w:b/>
          <w:bCs/>
          <w:szCs w:val="21"/>
          <w:lang w:eastAsia="zh-CN"/>
        </w:rPr>
      </w:pPr>
      <w:r>
        <w:rPr>
          <w:rFonts w:hint="eastAsia" w:ascii="微软雅黑" w:hAnsi="微软雅黑" w:eastAsia="微软雅黑"/>
          <w:b/>
          <w:bCs/>
          <w:szCs w:val="21"/>
          <w:lang w:eastAsia="zh-CN"/>
        </w:rPr>
        <w:t>（四）偏离度管理</w:t>
      </w:r>
    </w:p>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为了避免采用摊余成本法计算的理财产品资产净值与按市场利率和交易市价计算的理财产品资产净值发生重大偏差，在实际操作中，采用“摊余成本+影子定价”相结合方法，将采用公允价值对产品持有的估值对象进行影子定价。</w:t>
      </w:r>
    </w:p>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当影子定价确定的资产净值与摊余成本法计算的资产净值正偏离度绝对值达到0.5%或以上时，珠海华润银行有权暂停接受认购，并将在5个交易日内将正偏离度绝对值调整到0.5%以内。当负偏离度绝对值达到0.25%时，珠海华润银行将在5个交易日内将负偏离度绝对值调整到0.25%以内。当负偏离度绝对值达到0.5%时，珠海华润银行将采取相应措施，将负偏离度绝对值控制在0.5%以内。</w:t>
      </w:r>
    </w:p>
    <w:p>
      <w:pPr>
        <w:numPr>
          <w:ilvl w:val="0"/>
          <w:numId w:val="0"/>
        </w:numPr>
        <w:spacing w:line="320" w:lineRule="exact"/>
        <w:ind w:firstLine="210" w:firstLineChars="100"/>
        <w:rPr>
          <w:rFonts w:hint="eastAsia" w:ascii="微软雅黑" w:hAnsi="微软雅黑" w:eastAsia="微软雅黑"/>
          <w:szCs w:val="21"/>
        </w:rPr>
      </w:pPr>
      <w:r>
        <w:rPr>
          <w:rFonts w:hint="eastAsia" w:ascii="微软雅黑" w:hAnsi="微软雅黑" w:eastAsia="微软雅黑"/>
          <w:b/>
          <w:bCs/>
          <w:szCs w:val="21"/>
        </w:rPr>
        <w:t>（</w:t>
      </w:r>
      <w:r>
        <w:rPr>
          <w:rFonts w:hint="eastAsia" w:ascii="微软雅黑" w:hAnsi="微软雅黑" w:eastAsia="微软雅黑"/>
          <w:b/>
          <w:bCs/>
          <w:szCs w:val="21"/>
          <w:lang w:eastAsia="zh-CN"/>
        </w:rPr>
        <w:t>五</w:t>
      </w:r>
      <w:r>
        <w:rPr>
          <w:rFonts w:hint="eastAsia" w:ascii="微软雅黑" w:hAnsi="微软雅黑" w:eastAsia="微软雅黑"/>
          <w:b/>
          <w:bCs/>
          <w:szCs w:val="21"/>
        </w:rPr>
        <w:t>）</w:t>
      </w:r>
      <w:r>
        <w:rPr>
          <w:rFonts w:hint="eastAsia" w:ascii="微软雅黑" w:hAnsi="微软雅黑" w:eastAsia="微软雅黑"/>
          <w:szCs w:val="21"/>
        </w:rPr>
        <w:t>本期理财产品若由珠海华润银行聘请第三方机构进行估值服务，估值服务所产生的运营服务费由理财产品财产承担。</w:t>
      </w:r>
    </w:p>
    <w:p>
      <w:pPr>
        <w:spacing w:line="320" w:lineRule="exact"/>
        <w:ind w:firstLine="210" w:firstLineChars="100"/>
        <w:rPr>
          <w:rFonts w:hint="eastAsia" w:ascii="微软雅黑" w:hAnsi="微软雅黑" w:eastAsia="微软雅黑"/>
          <w:b/>
          <w:bCs/>
          <w:szCs w:val="21"/>
          <w:lang w:eastAsia="zh-CN"/>
        </w:rPr>
      </w:pPr>
      <w:r>
        <w:rPr>
          <w:rFonts w:hint="eastAsia" w:ascii="微软雅黑" w:hAnsi="微软雅黑" w:eastAsia="微软雅黑"/>
          <w:b/>
          <w:bCs/>
          <w:szCs w:val="21"/>
          <w:lang w:eastAsia="zh-CN"/>
        </w:rPr>
        <w:t>（六）估值错误的处理</w:t>
      </w:r>
    </w:p>
    <w:p>
      <w:pPr>
        <w:numPr>
          <w:ilvl w:val="0"/>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0"/>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1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1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1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1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1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0"/>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0"/>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1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1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1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0"/>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1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1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1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420" w:firstLineChars="2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（七）暂停估值的情形</w:t>
      </w:r>
    </w:p>
    <w:p>
      <w:pPr>
        <w:numPr>
          <w:ilvl w:val="0"/>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0"/>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0"/>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0"/>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0"/>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八、信息披露</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如本理财产品终止，珠海华润银行将于终止日前2个工作日内，发布“产品终止公告”，将于终止日后5个工作日内发布“产品到期公告”。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3.理财产品存续期间，珠海华润银行将于每个开放日公告上一日的每万份理财产品已实现收益和七日年化收益率。</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4.理财产品存续期间，珠海华润银行将在每季度结束之日起15</w:t>
      </w:r>
      <w:r>
        <w:rPr>
          <w:rFonts w:hint="eastAsia" w:ascii="微软雅黑" w:hAnsi="微软雅黑" w:eastAsia="微软雅黑"/>
          <w:szCs w:val="21"/>
          <w:lang w:eastAsia="zh-CN"/>
        </w:rPr>
        <w:t>个工作</w:t>
      </w:r>
      <w:r>
        <w:rPr>
          <w:rFonts w:hint="eastAsia" w:ascii="微软雅黑" w:hAnsi="微软雅黑" w:eastAsia="微软雅黑"/>
          <w:szCs w:val="21"/>
        </w:rPr>
        <w:t>日内，上半年结束之日起60</w:t>
      </w:r>
      <w:r>
        <w:rPr>
          <w:rFonts w:hint="eastAsia" w:ascii="微软雅黑" w:hAnsi="微软雅黑" w:eastAsia="微软雅黑"/>
          <w:szCs w:val="21"/>
          <w:lang w:eastAsia="zh-CN"/>
        </w:rPr>
        <w:t>个工作</w:t>
      </w:r>
      <w:r>
        <w:rPr>
          <w:rFonts w:hint="eastAsia" w:ascii="微软雅黑" w:hAnsi="微软雅黑" w:eastAsia="微软雅黑"/>
          <w:szCs w:val="21"/>
        </w:rPr>
        <w:t>日内，每年结束之日起90</w:t>
      </w:r>
      <w:r>
        <w:rPr>
          <w:rFonts w:hint="eastAsia" w:ascii="微软雅黑" w:hAnsi="微软雅黑" w:eastAsia="微软雅黑"/>
          <w:szCs w:val="21"/>
          <w:lang w:eastAsia="zh-CN"/>
        </w:rPr>
        <w:t>个工作</w:t>
      </w:r>
      <w:r>
        <w:rPr>
          <w:rFonts w:hint="eastAsia" w:ascii="微软雅黑" w:hAnsi="微软雅黑" w:eastAsia="微软雅黑"/>
          <w:szCs w:val="21"/>
        </w:rPr>
        <w:t>日内，公告产品季度报告、半年度报告和年度报告（理财产品成立不足90</w:t>
      </w:r>
      <w:r>
        <w:rPr>
          <w:rFonts w:hint="eastAsia" w:ascii="微软雅黑" w:hAnsi="微软雅黑" w:eastAsia="微软雅黑"/>
          <w:szCs w:val="21"/>
          <w:lang w:eastAsia="zh-CN"/>
        </w:rPr>
        <w:t>个工作</w:t>
      </w:r>
      <w:r>
        <w:rPr>
          <w:rFonts w:hint="eastAsia" w:ascii="微软雅黑" w:hAnsi="微软雅黑" w:eastAsia="微软雅黑"/>
          <w:szCs w:val="21"/>
        </w:rPr>
        <w:t>日或者剩余存续期不超过90</w:t>
      </w:r>
      <w:r>
        <w:rPr>
          <w:rFonts w:hint="eastAsia" w:ascii="微软雅黑" w:hAnsi="微软雅黑" w:eastAsia="微软雅黑"/>
          <w:szCs w:val="21"/>
          <w:lang w:eastAsia="zh-CN"/>
        </w:rPr>
        <w:t>个工作</w:t>
      </w:r>
      <w:r>
        <w:rPr>
          <w:rFonts w:hint="eastAsia" w:ascii="微软雅黑" w:hAnsi="微软雅黑" w:eastAsia="微软雅黑"/>
          <w:szCs w:val="21"/>
        </w:rPr>
        <w:t>日的除外），向</w:t>
      </w:r>
      <w:r>
        <w:rPr>
          <w:rFonts w:hint="eastAsia" w:ascii="微软雅黑" w:hAnsi="微软雅黑" w:eastAsia="微软雅黑"/>
          <w:szCs w:val="21"/>
          <w:lang w:eastAsia="zh-CN"/>
        </w:rPr>
        <w:t>投资者</w:t>
      </w:r>
      <w:r>
        <w:rPr>
          <w:rFonts w:hint="eastAsia" w:ascii="微软雅黑" w:hAnsi="微软雅黑" w:eastAsia="微软雅黑"/>
          <w:szCs w:val="21"/>
        </w:rPr>
        <w:t>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5.理财产品存续期间，珠海华润银行如需对《产品说明书》的相关条款（包括但不限于业绩比较基准、投资范围、估值方法、</w:t>
      </w:r>
      <w:r>
        <w:rPr>
          <w:rFonts w:hint="eastAsia" w:ascii="微软雅黑" w:hAnsi="微软雅黑" w:eastAsia="微软雅黑" w:cs="Times New Roman"/>
          <w:b w:val="0"/>
          <w:bCs w:val="0"/>
          <w:sz w:val="21"/>
          <w:szCs w:val="21"/>
          <w:lang w:val="en-US" w:eastAsia="zh-CN"/>
        </w:rPr>
        <w:t>业务规则、</w:t>
      </w:r>
      <w:r>
        <w:rPr>
          <w:rFonts w:hint="eastAsia" w:ascii="微软雅黑" w:hAnsi="微软雅黑" w:eastAsia="微软雅黑"/>
          <w:szCs w:val="21"/>
        </w:rPr>
        <w:t>单笔认购上限</w:t>
      </w:r>
      <w:r>
        <w:rPr>
          <w:rFonts w:hint="eastAsia" w:ascii="微软雅黑" w:hAnsi="微软雅黑" w:eastAsia="微软雅黑"/>
          <w:szCs w:val="21"/>
          <w:lang w:eastAsia="zh-CN"/>
        </w:rPr>
        <w:t>、</w:t>
      </w:r>
      <w:r>
        <w:rPr>
          <w:rFonts w:hint="eastAsia" w:ascii="微软雅黑" w:hAnsi="微软雅黑" w:eastAsia="微软雅黑" w:cs="Times New Roman"/>
          <w:sz w:val="21"/>
          <w:szCs w:val="21"/>
          <w:lang w:val="en-US" w:eastAsia="zh-CN"/>
        </w:rPr>
        <w:t>最低持有份额、</w:t>
      </w:r>
      <w:r>
        <w:rPr>
          <w:rFonts w:hint="eastAsia" w:ascii="微软雅黑" w:hAnsi="微软雅黑" w:eastAsia="微软雅黑"/>
          <w:szCs w:val="21"/>
        </w:rPr>
        <w:t>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6.理财产品存续期间，如国家宏观政策或市场发生了可能对本理财产品本金及收益造成重大影响的事件，珠海华润银行将于重大事件后的2个工作日内发布“重大事项公告”。</w:t>
      </w:r>
    </w:p>
    <w:p>
      <w:pPr>
        <w:spacing w:line="320" w:lineRule="exact"/>
      </w:pPr>
      <w:r>
        <w:rPr>
          <w:rFonts w:hint="eastAsia" w:ascii="微软雅黑" w:hAnsi="微软雅黑" w:eastAsia="微软雅黑"/>
          <w:szCs w:val="21"/>
        </w:rPr>
        <w:t>7.</w:t>
      </w:r>
      <w:r>
        <w:rPr>
          <w:rFonts w:hint="eastAsia" w:ascii="微软雅黑" w:hAnsi="微软雅黑" w:eastAsia="微软雅黑"/>
          <w:szCs w:val="21"/>
          <w:lang w:eastAsia="zh-CN"/>
        </w:rPr>
        <w:t>投资者</w:t>
      </w:r>
      <w:r>
        <w:rPr>
          <w:rFonts w:hint="eastAsia" w:ascii="微软雅黑" w:hAnsi="微软雅黑" w:eastAsia="微软雅黑"/>
          <w:szCs w:val="21"/>
        </w:rPr>
        <w:t>需要咨询本理财产品相关信息的，可到珠海华润银行各营业网点咨询，也可致电珠海华润银行24小时</w:t>
      </w:r>
      <w:r>
        <w:rPr>
          <w:rFonts w:hint="eastAsia" w:ascii="微软雅黑" w:hAnsi="微软雅黑" w:eastAsia="微软雅黑"/>
          <w:szCs w:val="21"/>
          <w:lang w:eastAsia="zh-CN"/>
        </w:rPr>
        <w:t>投资者</w:t>
      </w:r>
      <w:r>
        <w:rPr>
          <w:rFonts w:hint="eastAsia" w:ascii="微软雅黑" w:hAnsi="微软雅黑" w:eastAsia="微软雅黑"/>
          <w:szCs w:val="21"/>
        </w:rPr>
        <w:t>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rFonts w:ascii="微软雅黑" w:hAnsi="微软雅黑" w:eastAsia="微软雅黑"/>
        <w:b/>
      </w:rPr>
    </w:pPr>
    <w:r>
      <w:drawing>
        <wp:inline distT="0" distB="0" distL="114300" distR="114300">
          <wp:extent cx="1636395" cy="429260"/>
          <wp:effectExtent l="0" t="0" r="1905" b="254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w:t>
    </w:r>
    <w:r>
      <w:rPr>
        <w:rFonts w:hint="eastAsia" w:ascii="微软雅黑" w:hAnsi="微软雅黑" w:eastAsia="微软雅黑"/>
        <w:b/>
        <w:lang w:val="en-US" w:eastAsia="zh-CN"/>
      </w:rPr>
      <w:t>211</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BACD39EC"/>
    <w:multiLevelType w:val="singleLevel"/>
    <w:tmpl w:val="BACD39EC"/>
    <w:lvl w:ilvl="0" w:tentative="0">
      <w:start w:val="1"/>
      <w:numFmt w:val="decimal"/>
      <w:suff w:val="space"/>
      <w:lvlText w:val="%1."/>
      <w:lvlJc w:val="left"/>
    </w:lvl>
  </w:abstractNum>
  <w:abstractNum w:abstractNumId="2">
    <w:nsid w:val="CADA6CA3"/>
    <w:multiLevelType w:val="singleLevel"/>
    <w:tmpl w:val="CADA6CA3"/>
    <w:lvl w:ilvl="0" w:tentative="0">
      <w:start w:val="1"/>
      <w:numFmt w:val="decimal"/>
      <w:suff w:val="nothing"/>
      <w:lvlText w:val="（%1）"/>
      <w:lvlJc w:val="left"/>
    </w:lvl>
  </w:abstractNum>
  <w:abstractNum w:abstractNumId="3">
    <w:nsid w:val="D77A82E4"/>
    <w:multiLevelType w:val="singleLevel"/>
    <w:tmpl w:val="D77A82E4"/>
    <w:lvl w:ilvl="0" w:tentative="0">
      <w:start w:val="1"/>
      <w:numFmt w:val="decimal"/>
      <w:suff w:val="nothing"/>
      <w:lvlText w:val="（%1）"/>
      <w:lvlJc w:val="left"/>
    </w:lvl>
  </w:abstractNum>
  <w:abstractNum w:abstractNumId="4">
    <w:nsid w:val="E4CFE379"/>
    <w:multiLevelType w:val="singleLevel"/>
    <w:tmpl w:val="E4CFE379"/>
    <w:lvl w:ilvl="0" w:tentative="0">
      <w:start w:val="1"/>
      <w:numFmt w:val="decimal"/>
      <w:suff w:val="nothing"/>
      <w:lvlText w:val="（%1）"/>
      <w:lvlJc w:val="left"/>
    </w:lvl>
  </w:abstractNum>
  <w:abstractNum w:abstractNumId="5">
    <w:nsid w:val="E8751771"/>
    <w:multiLevelType w:val="singleLevel"/>
    <w:tmpl w:val="E8751771"/>
    <w:lvl w:ilvl="0" w:tentative="0">
      <w:start w:val="1"/>
      <w:numFmt w:val="decimal"/>
      <w:suff w:val="nothing"/>
      <w:lvlText w:val="（%1）"/>
      <w:lvlJc w:val="left"/>
    </w:lvl>
  </w:abstractNum>
  <w:abstractNum w:abstractNumId="6">
    <w:nsid w:val="03DE00D4"/>
    <w:multiLevelType w:val="singleLevel"/>
    <w:tmpl w:val="03DE00D4"/>
    <w:lvl w:ilvl="0" w:tentative="0">
      <w:start w:val="1"/>
      <w:numFmt w:val="decimal"/>
      <w:suff w:val="nothing"/>
      <w:lvlText w:val="（%1）"/>
      <w:lvlJc w:val="left"/>
    </w:lvl>
  </w:abstractNum>
  <w:abstractNum w:abstractNumId="7">
    <w:nsid w:val="0B20DCFB"/>
    <w:multiLevelType w:val="singleLevel"/>
    <w:tmpl w:val="0B20DCFB"/>
    <w:lvl w:ilvl="0" w:tentative="0">
      <w:start w:val="2"/>
      <w:numFmt w:val="chineseCounting"/>
      <w:suff w:val="nothing"/>
      <w:lvlText w:val="%1、"/>
      <w:lvlJc w:val="left"/>
      <w:rPr>
        <w:rFonts w:hint="eastAsia"/>
      </w:rPr>
    </w:lvl>
  </w:abstractNum>
  <w:abstractNum w:abstractNumId="8">
    <w:nsid w:val="1EA3D373"/>
    <w:multiLevelType w:val="singleLevel"/>
    <w:tmpl w:val="1EA3D373"/>
    <w:lvl w:ilvl="0" w:tentative="0">
      <w:start w:val="1"/>
      <w:numFmt w:val="decimal"/>
      <w:suff w:val="space"/>
      <w:lvlText w:val="%1."/>
      <w:lvlJc w:val="left"/>
    </w:lvl>
  </w:abstractNum>
  <w:abstractNum w:abstractNumId="9">
    <w:nsid w:val="3499FACB"/>
    <w:multiLevelType w:val="singleLevel"/>
    <w:tmpl w:val="3499FACB"/>
    <w:lvl w:ilvl="0" w:tentative="0">
      <w:start w:val="1"/>
      <w:numFmt w:val="decimal"/>
      <w:suff w:val="space"/>
      <w:lvlText w:val="%1."/>
      <w:lvlJc w:val="left"/>
    </w:lvl>
  </w:abstractNum>
  <w:abstractNum w:abstractNumId="10">
    <w:nsid w:val="364419FE"/>
    <w:multiLevelType w:val="multilevel"/>
    <w:tmpl w:val="364419FE"/>
    <w:lvl w:ilvl="0" w:tentative="0">
      <w:start w:val="10"/>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57E8AF19"/>
    <w:multiLevelType w:val="singleLevel"/>
    <w:tmpl w:val="57E8AF19"/>
    <w:lvl w:ilvl="0" w:tentative="0">
      <w:start w:val="1"/>
      <w:numFmt w:val="decimal"/>
      <w:suff w:val="space"/>
      <w:lvlText w:val="%1."/>
      <w:lvlJc w:val="left"/>
      <w:pPr>
        <w:ind w:left="315" w:firstLine="0"/>
      </w:pPr>
    </w:lvl>
  </w:abstractNum>
  <w:abstractNum w:abstractNumId="12">
    <w:nsid w:val="5FABBE5F"/>
    <w:multiLevelType w:val="singleLevel"/>
    <w:tmpl w:val="5FABBE5F"/>
    <w:lvl w:ilvl="0" w:tentative="0">
      <w:start w:val="3"/>
      <w:numFmt w:val="decimal"/>
      <w:suff w:val="space"/>
      <w:lvlText w:val="%1."/>
      <w:lvlJc w:val="left"/>
    </w:lvl>
  </w:abstractNum>
  <w:abstractNum w:abstractNumId="13">
    <w:nsid w:val="6197A749"/>
    <w:multiLevelType w:val="singleLevel"/>
    <w:tmpl w:val="6197A749"/>
    <w:lvl w:ilvl="0" w:tentative="0">
      <w:start w:val="1"/>
      <w:numFmt w:val="decimal"/>
      <w:lvlText w:val="%1."/>
      <w:lvlJc w:val="left"/>
      <w:pPr>
        <w:tabs>
          <w:tab w:val="left" w:pos="312"/>
        </w:tabs>
      </w:pPr>
    </w:lvl>
  </w:abstractNum>
  <w:abstractNum w:abstractNumId="14">
    <w:nsid w:val="6F1C0AF9"/>
    <w:multiLevelType w:val="singleLevel"/>
    <w:tmpl w:val="6F1C0AF9"/>
    <w:lvl w:ilvl="0" w:tentative="0">
      <w:start w:val="5"/>
      <w:numFmt w:val="chineseCounting"/>
      <w:suff w:val="nothing"/>
      <w:lvlText w:val="%1、"/>
      <w:lvlJc w:val="left"/>
      <w:rPr>
        <w:rFonts w:hint="eastAsia"/>
      </w:rPr>
    </w:lvl>
  </w:abstractNum>
  <w:num w:numId="1">
    <w:abstractNumId w:val="10"/>
  </w:num>
  <w:num w:numId="2">
    <w:abstractNumId w:val="3"/>
  </w:num>
  <w:num w:numId="3">
    <w:abstractNumId w:val="7"/>
  </w:num>
  <w:num w:numId="4">
    <w:abstractNumId w:val="13"/>
  </w:num>
  <w:num w:numId="5">
    <w:abstractNumId w:val="9"/>
  </w:num>
  <w:num w:numId="6">
    <w:abstractNumId w:val="1"/>
  </w:num>
  <w:num w:numId="7">
    <w:abstractNumId w:val="12"/>
  </w:num>
  <w:num w:numId="8">
    <w:abstractNumId w:val="11"/>
  </w:num>
  <w:num w:numId="9">
    <w:abstractNumId w:val="4"/>
  </w:num>
  <w:num w:numId="10">
    <w:abstractNumId w:val="5"/>
  </w:num>
  <w:num w:numId="11">
    <w:abstractNumId w:val="14"/>
  </w:num>
  <w:num w:numId="12">
    <w:abstractNumId w:val="8"/>
  </w:num>
  <w:num w:numId="13">
    <w:abstractNumId w:val="0"/>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111FDD"/>
    <w:rsid w:val="05B5650D"/>
    <w:rsid w:val="08C01951"/>
    <w:rsid w:val="10096FD4"/>
    <w:rsid w:val="114F75F0"/>
    <w:rsid w:val="124F1D9F"/>
    <w:rsid w:val="13AC0B54"/>
    <w:rsid w:val="1CB25709"/>
    <w:rsid w:val="1EB74D2A"/>
    <w:rsid w:val="208F4FC3"/>
    <w:rsid w:val="222A4363"/>
    <w:rsid w:val="22394401"/>
    <w:rsid w:val="22900BB2"/>
    <w:rsid w:val="22F971F8"/>
    <w:rsid w:val="233911DB"/>
    <w:rsid w:val="2AC412B9"/>
    <w:rsid w:val="2D627161"/>
    <w:rsid w:val="345B0644"/>
    <w:rsid w:val="38E867C9"/>
    <w:rsid w:val="3B281A9B"/>
    <w:rsid w:val="3B5E1E02"/>
    <w:rsid w:val="3C2117CA"/>
    <w:rsid w:val="3D156F5A"/>
    <w:rsid w:val="3EF76BBA"/>
    <w:rsid w:val="42617DC2"/>
    <w:rsid w:val="429F2E79"/>
    <w:rsid w:val="453A7255"/>
    <w:rsid w:val="55D05BE3"/>
    <w:rsid w:val="58FD27E2"/>
    <w:rsid w:val="59D50BA5"/>
    <w:rsid w:val="5A4C3EAF"/>
    <w:rsid w:val="5B09446E"/>
    <w:rsid w:val="5DA0327F"/>
    <w:rsid w:val="5E8F059D"/>
    <w:rsid w:val="630B2CBA"/>
    <w:rsid w:val="657F7215"/>
    <w:rsid w:val="700A55D8"/>
    <w:rsid w:val="71A841E0"/>
    <w:rsid w:val="745830E7"/>
    <w:rsid w:val="74996853"/>
    <w:rsid w:val="756837E1"/>
    <w:rsid w:val="769520F2"/>
    <w:rsid w:val="79273D35"/>
    <w:rsid w:val="7F1F3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2022-11-07T01:24:00Z</dcterms:created>
  <dc:creator>linaina1</dc:creator>
  <cp:lastModifiedBy>linaina1</cp:lastModifiedBy>
  <dcterms:modified xsi:type="dcterms:W3CDTF">2022-11-24T09:55:05Z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003BE464823A45B1B684F6363AD0E465</vt:lpwstr>
  </property>
</Properties>
</file>