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3D1" w:rsidRDefault="00A563D1">
      <w:pPr>
        <w:spacing w:line="300" w:lineRule="exact"/>
        <w:jc w:val="center"/>
        <w:rPr>
          <w:rFonts w:ascii="微软雅黑" w:eastAsia="微软雅黑" w:hAnsi="微软雅黑"/>
          <w:b/>
          <w:sz w:val="28"/>
          <w:szCs w:val="28"/>
        </w:rPr>
      </w:pPr>
    </w:p>
    <w:p w:rsidR="00A563D1" w:rsidRDefault="00812934">
      <w:pPr>
        <w:spacing w:line="300" w:lineRule="exact"/>
        <w:jc w:val="center"/>
        <w:rPr>
          <w:rFonts w:ascii="微软雅黑" w:eastAsia="微软雅黑" w:hAnsi="微软雅黑"/>
          <w:b/>
          <w:sz w:val="28"/>
          <w:szCs w:val="28"/>
        </w:rPr>
      </w:pPr>
      <w:r>
        <w:rPr>
          <w:rFonts w:ascii="微软雅黑" w:eastAsia="微软雅黑" w:hAnsi="微软雅黑" w:hint="eastAsia"/>
          <w:b/>
          <w:sz w:val="28"/>
          <w:szCs w:val="28"/>
        </w:rPr>
        <w:t>珠海华润银行</w:t>
      </w:r>
      <w:r>
        <w:rPr>
          <w:rFonts w:ascii="微软雅黑" w:eastAsia="微软雅黑" w:hAnsi="微软雅黑"/>
          <w:b/>
          <w:sz w:val="28"/>
          <w:szCs w:val="28"/>
        </w:rPr>
        <w:t>快乐金10号</w:t>
      </w:r>
      <w:r w:rsidR="00BB3FD6">
        <w:rPr>
          <w:rFonts w:ascii="微软雅黑" w:eastAsia="微软雅黑" w:hAnsi="微软雅黑"/>
          <w:b/>
          <w:sz w:val="28"/>
          <w:szCs w:val="28"/>
        </w:rPr>
        <w:t>2</w:t>
      </w:r>
      <w:r w:rsidR="00BB3FD6">
        <w:rPr>
          <w:rFonts w:ascii="微软雅黑" w:eastAsia="微软雅黑" w:hAnsi="微软雅黑" w:hint="eastAsia"/>
          <w:b/>
          <w:sz w:val="28"/>
          <w:szCs w:val="28"/>
        </w:rPr>
        <w:t>9</w:t>
      </w:r>
      <w:r w:rsidR="00BB3FD6">
        <w:rPr>
          <w:rFonts w:ascii="微软雅黑" w:eastAsia="微软雅黑" w:hAnsi="微软雅黑" w:hint="eastAsia"/>
          <w:b/>
          <w:sz w:val="28"/>
          <w:szCs w:val="28"/>
        </w:rPr>
        <w:t>30</w:t>
      </w:r>
      <w:r>
        <w:rPr>
          <w:rFonts w:ascii="微软雅黑" w:eastAsia="微软雅黑" w:hAnsi="微软雅黑"/>
          <w:b/>
          <w:sz w:val="28"/>
          <w:szCs w:val="28"/>
        </w:rPr>
        <w:t>期</w:t>
      </w:r>
      <w:r>
        <w:rPr>
          <w:rFonts w:ascii="微软雅黑" w:eastAsia="微软雅黑" w:hAnsi="微软雅黑" w:hint="eastAsia"/>
          <w:b/>
          <w:sz w:val="28"/>
          <w:szCs w:val="28"/>
        </w:rPr>
        <w:t xml:space="preserve">理财计划产品说明书 </w:t>
      </w:r>
    </w:p>
    <w:p w:rsidR="00A563D1" w:rsidRDefault="00A563D1">
      <w:pPr>
        <w:spacing w:line="300" w:lineRule="exact"/>
        <w:jc w:val="center"/>
        <w:rPr>
          <w:rFonts w:ascii="微软雅黑" w:eastAsia="微软雅黑" w:hAnsi="微软雅黑"/>
          <w:b/>
          <w:szCs w:val="21"/>
        </w:rPr>
      </w:pPr>
    </w:p>
    <w:p w:rsidR="00A563D1" w:rsidRDefault="00812934">
      <w:pPr>
        <w:spacing w:line="300" w:lineRule="exact"/>
        <w:rPr>
          <w:rFonts w:ascii="微软雅黑" w:eastAsia="微软雅黑" w:hAnsi="微软雅黑"/>
          <w:b/>
          <w:szCs w:val="21"/>
        </w:rPr>
      </w:pPr>
      <w:r>
        <w:rPr>
          <w:rFonts w:ascii="微软雅黑" w:eastAsia="微软雅黑" w:hAnsi="微软雅黑" w:hint="eastAsia"/>
          <w:b/>
          <w:szCs w:val="21"/>
        </w:rPr>
        <w:t>重要须知</w:t>
      </w:r>
    </w:p>
    <w:p w:rsidR="00A563D1" w:rsidRDefault="00812934">
      <w:pPr>
        <w:pStyle w:val="aa"/>
        <w:numPr>
          <w:ilvl w:val="0"/>
          <w:numId w:val="1"/>
        </w:numPr>
        <w:spacing w:line="300" w:lineRule="exact"/>
        <w:ind w:firstLineChars="0"/>
        <w:rPr>
          <w:rFonts w:ascii="微软雅黑" w:eastAsia="微软雅黑" w:hAnsi="微软雅黑"/>
          <w:szCs w:val="21"/>
        </w:rPr>
      </w:pPr>
      <w:r>
        <w:rPr>
          <w:rFonts w:ascii="微软雅黑" w:eastAsia="微软雅黑" w:hAnsi="微软雅黑" w:hint="eastAsia"/>
          <w:szCs w:val="21"/>
        </w:rPr>
        <w:t>本理财计划与银行存款存在明显区别。产品有风险，投资需谨慎。</w:t>
      </w:r>
    </w:p>
    <w:p w:rsidR="00A563D1" w:rsidRDefault="00812934">
      <w:pPr>
        <w:pStyle w:val="aa"/>
        <w:numPr>
          <w:ilvl w:val="0"/>
          <w:numId w:val="1"/>
        </w:numPr>
        <w:spacing w:line="300" w:lineRule="exact"/>
        <w:ind w:firstLineChars="0"/>
        <w:rPr>
          <w:rFonts w:ascii="微软雅黑" w:eastAsia="微软雅黑" w:hAnsi="微软雅黑"/>
          <w:szCs w:val="21"/>
        </w:rPr>
      </w:pPr>
      <w:r>
        <w:rPr>
          <w:rFonts w:ascii="微软雅黑" w:eastAsia="微软雅黑" w:hAnsi="微软雅黑" w:hint="eastAsia"/>
          <w:szCs w:val="21"/>
        </w:rPr>
        <w:t>本产品说明书与风险揭示书、理财产品销售协议书、客户权益须知共同组成投资者与珠海华润银行之间理财合同的不可分割之组成部分。</w:t>
      </w:r>
    </w:p>
    <w:p w:rsidR="00A563D1" w:rsidRDefault="00812934">
      <w:pPr>
        <w:pStyle w:val="aa"/>
        <w:numPr>
          <w:ilvl w:val="0"/>
          <w:numId w:val="1"/>
        </w:numPr>
        <w:spacing w:line="300" w:lineRule="exact"/>
        <w:ind w:firstLineChars="0"/>
        <w:rPr>
          <w:rFonts w:ascii="微软雅黑" w:eastAsia="微软雅黑" w:hAnsi="微软雅黑"/>
          <w:szCs w:val="21"/>
        </w:rPr>
      </w:pPr>
      <w:r>
        <w:rPr>
          <w:rFonts w:ascii="微软雅黑" w:eastAsia="微软雅黑" w:hAnsi="微软雅黑" w:hint="eastAsia"/>
          <w:szCs w:val="21"/>
        </w:rPr>
        <w:t>在购买本理财计划前，请投资者确保自己完全明白本理财计划的性质、其中涉及的风险以及投资者的自身情况。详细了解和审慎评估该理财计划的资金投资方向、风险类型及预期收益等基本情况，在慎重考虑后自行决定购买与自身风险承受能力和资产管理需求匹配的理财计划。</w:t>
      </w:r>
    </w:p>
    <w:p w:rsidR="00A563D1" w:rsidRDefault="00812934">
      <w:pPr>
        <w:pStyle w:val="aa"/>
        <w:numPr>
          <w:ilvl w:val="0"/>
          <w:numId w:val="1"/>
        </w:numPr>
        <w:spacing w:line="300" w:lineRule="exact"/>
        <w:ind w:firstLineChars="0"/>
        <w:rPr>
          <w:rFonts w:ascii="微软雅黑" w:eastAsia="微软雅黑" w:hAnsi="微软雅黑"/>
          <w:szCs w:val="21"/>
        </w:rPr>
      </w:pPr>
      <w:r>
        <w:rPr>
          <w:rFonts w:ascii="微软雅黑" w:eastAsia="微软雅黑" w:hAnsi="微软雅黑" w:hint="eastAsia"/>
          <w:szCs w:val="21"/>
        </w:rPr>
        <w:t>任何</w:t>
      </w:r>
      <w:proofErr w:type="gramStart"/>
      <w:r>
        <w:rPr>
          <w:rFonts w:ascii="微软雅黑" w:eastAsia="微软雅黑" w:hAnsi="微软雅黑" w:hint="eastAsia"/>
          <w:szCs w:val="21"/>
        </w:rPr>
        <w:t>预期年化收益率</w:t>
      </w:r>
      <w:proofErr w:type="gramEnd"/>
      <w:r>
        <w:rPr>
          <w:rFonts w:ascii="微软雅黑" w:eastAsia="微软雅黑" w:hAnsi="微软雅黑" w:hint="eastAsia"/>
          <w:szCs w:val="21"/>
        </w:rPr>
        <w:t xml:space="preserve">、预计收益率、测算收益或类似表述均属不具有法律约束力，不代表投资者可能获得的实际收益，亦不构成珠海华润银行对本理财计划的任何收益承诺。 </w:t>
      </w:r>
    </w:p>
    <w:p w:rsidR="00A563D1" w:rsidRDefault="00812934">
      <w:pPr>
        <w:pStyle w:val="aa"/>
        <w:numPr>
          <w:ilvl w:val="0"/>
          <w:numId w:val="1"/>
        </w:numPr>
        <w:spacing w:line="300" w:lineRule="exact"/>
        <w:ind w:firstLineChars="0"/>
        <w:rPr>
          <w:rFonts w:ascii="微软雅黑" w:eastAsia="微软雅黑" w:hAnsi="微软雅黑"/>
          <w:szCs w:val="21"/>
        </w:rPr>
      </w:pPr>
      <w:r>
        <w:rPr>
          <w:rFonts w:ascii="微软雅黑" w:eastAsia="微软雅黑" w:hAnsi="微软雅黑" w:hint="eastAsia"/>
          <w:szCs w:val="21"/>
        </w:rPr>
        <w:t>本理财计划存续期内，如因国家法律法规、监管规定发生变化，或是出于维持本产品正常运营的需要，在不损害投资者利益的前提下，珠海华润银行（以下简称我行）有权单方对本产品说明书进行修订。</w:t>
      </w:r>
    </w:p>
    <w:p w:rsidR="00A563D1" w:rsidRDefault="00812934">
      <w:pPr>
        <w:pStyle w:val="aa"/>
        <w:numPr>
          <w:ilvl w:val="0"/>
          <w:numId w:val="1"/>
        </w:numPr>
        <w:spacing w:line="300" w:lineRule="exact"/>
        <w:ind w:firstLineChars="0"/>
        <w:rPr>
          <w:rFonts w:ascii="微软雅黑" w:eastAsia="微软雅黑" w:hAnsi="微软雅黑"/>
          <w:szCs w:val="21"/>
        </w:rPr>
      </w:pPr>
      <w:r>
        <w:rPr>
          <w:rFonts w:ascii="微软雅黑" w:eastAsia="微软雅黑" w:hAnsi="微软雅黑" w:hint="eastAsia"/>
          <w:szCs w:val="21"/>
        </w:rPr>
        <w:t>投资者若对本产品说明书的内容有任何疑问，请向珠海华润银行营业网点或我行认可的其他销售渠道咨询。</w:t>
      </w:r>
    </w:p>
    <w:p w:rsidR="00A563D1" w:rsidRDefault="00812934">
      <w:pPr>
        <w:pStyle w:val="aa"/>
        <w:numPr>
          <w:ilvl w:val="0"/>
          <w:numId w:val="1"/>
        </w:numPr>
        <w:spacing w:line="300" w:lineRule="exact"/>
        <w:ind w:firstLineChars="0"/>
        <w:rPr>
          <w:rFonts w:ascii="微软雅黑" w:eastAsia="微软雅黑" w:hAnsi="微软雅黑"/>
          <w:szCs w:val="21"/>
        </w:rPr>
      </w:pPr>
      <w:r>
        <w:rPr>
          <w:rFonts w:ascii="微软雅黑" w:eastAsia="微软雅黑" w:hAnsi="微软雅黑" w:hint="eastAsia"/>
          <w:szCs w:val="21"/>
        </w:rPr>
        <w:t xml:space="preserve">本理财计划产品说明书解释权归珠海华润银行所有。 </w:t>
      </w:r>
    </w:p>
    <w:p w:rsidR="00A563D1" w:rsidRDefault="00A563D1">
      <w:pPr>
        <w:spacing w:line="300" w:lineRule="exact"/>
        <w:rPr>
          <w:rFonts w:ascii="微软雅黑" w:eastAsia="微软雅黑" w:hAnsi="微软雅黑"/>
          <w:szCs w:val="21"/>
        </w:rPr>
      </w:pPr>
    </w:p>
    <w:p w:rsidR="00A563D1" w:rsidRDefault="00812934">
      <w:pPr>
        <w:spacing w:line="300" w:lineRule="exact"/>
        <w:rPr>
          <w:rFonts w:ascii="微软雅黑" w:eastAsia="微软雅黑" w:hAnsi="微软雅黑"/>
          <w:b/>
          <w:szCs w:val="21"/>
        </w:rPr>
      </w:pPr>
      <w:r>
        <w:rPr>
          <w:rFonts w:ascii="微软雅黑" w:eastAsia="微软雅黑" w:hAnsi="微软雅黑" w:hint="eastAsia"/>
          <w:b/>
          <w:szCs w:val="21"/>
        </w:rPr>
        <w:t xml:space="preserve">一、产品概述 </w:t>
      </w:r>
    </w:p>
    <w:p w:rsidR="00A563D1" w:rsidRDefault="00A563D1">
      <w:pPr>
        <w:spacing w:line="300" w:lineRule="exact"/>
        <w:ind w:left="360"/>
        <w:rPr>
          <w:rFonts w:ascii="微软雅黑" w:eastAsia="微软雅黑" w:hAnsi="微软雅黑"/>
          <w:b/>
          <w:szCs w:val="21"/>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0"/>
        <w:gridCol w:w="7484"/>
      </w:tblGrid>
      <w:tr w:rsidR="00A563D1">
        <w:trPr>
          <w:jc w:val="center"/>
        </w:trPr>
        <w:tc>
          <w:tcPr>
            <w:tcW w:w="1730" w:type="dxa"/>
          </w:tcPr>
          <w:p w:rsidR="00A563D1" w:rsidRDefault="00812934">
            <w:pPr>
              <w:spacing w:line="300" w:lineRule="exact"/>
              <w:rPr>
                <w:rFonts w:ascii="微软雅黑" w:eastAsia="微软雅黑" w:hAnsi="微软雅黑"/>
                <w:b/>
                <w:szCs w:val="21"/>
              </w:rPr>
            </w:pPr>
            <w:r>
              <w:rPr>
                <w:rFonts w:ascii="微软雅黑" w:eastAsia="微软雅黑" w:hAnsi="微软雅黑" w:hint="eastAsia"/>
                <w:szCs w:val="21"/>
              </w:rPr>
              <w:t>名称</w:t>
            </w:r>
          </w:p>
        </w:tc>
        <w:tc>
          <w:tcPr>
            <w:tcW w:w="7484" w:type="dxa"/>
          </w:tcPr>
          <w:p w:rsidR="00A563D1" w:rsidRDefault="00812934" w:rsidP="00BB3FD6">
            <w:pPr>
              <w:spacing w:line="300" w:lineRule="exact"/>
              <w:rPr>
                <w:rFonts w:ascii="微软雅黑" w:eastAsia="微软雅黑" w:hAnsi="微软雅黑"/>
                <w:b/>
                <w:szCs w:val="21"/>
              </w:rPr>
            </w:pPr>
            <w:r>
              <w:rPr>
                <w:rFonts w:ascii="微软雅黑" w:eastAsia="微软雅黑" w:hAnsi="微软雅黑" w:hint="eastAsia"/>
                <w:szCs w:val="21"/>
              </w:rPr>
              <w:t>快乐金10号</w:t>
            </w:r>
            <w:r w:rsidR="00BB3FD6">
              <w:rPr>
                <w:rFonts w:ascii="微软雅黑" w:eastAsia="微软雅黑" w:hAnsi="微软雅黑" w:hint="eastAsia"/>
                <w:szCs w:val="21"/>
              </w:rPr>
              <w:t>29</w:t>
            </w:r>
            <w:r w:rsidR="00BB3FD6">
              <w:rPr>
                <w:rFonts w:ascii="微软雅黑" w:eastAsia="微软雅黑" w:hAnsi="微软雅黑" w:hint="eastAsia"/>
                <w:szCs w:val="21"/>
              </w:rPr>
              <w:t>30</w:t>
            </w:r>
            <w:r>
              <w:rPr>
                <w:rFonts w:ascii="微软雅黑" w:eastAsia="微软雅黑" w:hAnsi="微软雅黑" w:hint="eastAsia"/>
                <w:szCs w:val="21"/>
              </w:rPr>
              <w:t>期人民币理财计划</w:t>
            </w:r>
          </w:p>
        </w:tc>
      </w:tr>
      <w:tr w:rsidR="00A563D1">
        <w:trPr>
          <w:jc w:val="center"/>
        </w:trPr>
        <w:tc>
          <w:tcPr>
            <w:tcW w:w="1730"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简称</w:t>
            </w:r>
          </w:p>
        </w:tc>
        <w:tc>
          <w:tcPr>
            <w:tcW w:w="7484" w:type="dxa"/>
          </w:tcPr>
          <w:p w:rsidR="00A563D1" w:rsidRDefault="00812934" w:rsidP="00BB3FD6">
            <w:pPr>
              <w:spacing w:line="300" w:lineRule="exact"/>
              <w:rPr>
                <w:rFonts w:ascii="微软雅黑" w:eastAsia="微软雅黑" w:hAnsi="微软雅黑"/>
                <w:szCs w:val="21"/>
              </w:rPr>
            </w:pPr>
            <w:r>
              <w:rPr>
                <w:rFonts w:ascii="微软雅黑" w:eastAsia="微软雅黑" w:hAnsi="微软雅黑" w:hint="eastAsia"/>
                <w:szCs w:val="21"/>
              </w:rPr>
              <w:t>快乐金10号</w:t>
            </w:r>
            <w:r w:rsidR="00BB3FD6">
              <w:rPr>
                <w:rFonts w:ascii="微软雅黑" w:eastAsia="微软雅黑" w:hAnsi="微软雅黑" w:hint="eastAsia"/>
                <w:szCs w:val="21"/>
              </w:rPr>
              <w:t>29</w:t>
            </w:r>
            <w:r w:rsidR="00BB3FD6">
              <w:rPr>
                <w:rFonts w:ascii="微软雅黑" w:eastAsia="微软雅黑" w:hAnsi="微软雅黑" w:hint="eastAsia"/>
                <w:szCs w:val="21"/>
              </w:rPr>
              <w:t>30</w:t>
            </w:r>
            <w:r>
              <w:rPr>
                <w:rFonts w:ascii="微软雅黑" w:eastAsia="微软雅黑" w:hAnsi="微软雅黑" w:hint="eastAsia"/>
                <w:szCs w:val="21"/>
              </w:rPr>
              <w:t>期</w:t>
            </w:r>
          </w:p>
        </w:tc>
      </w:tr>
      <w:tr w:rsidR="00A563D1">
        <w:trPr>
          <w:jc w:val="center"/>
        </w:trPr>
        <w:tc>
          <w:tcPr>
            <w:tcW w:w="1730"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产品代码</w:t>
            </w:r>
          </w:p>
        </w:tc>
        <w:tc>
          <w:tcPr>
            <w:tcW w:w="7484" w:type="dxa"/>
          </w:tcPr>
          <w:p w:rsidR="00A563D1" w:rsidRDefault="00BB3FD6" w:rsidP="00BB3FD6">
            <w:pPr>
              <w:spacing w:line="300" w:lineRule="exact"/>
              <w:rPr>
                <w:rFonts w:ascii="微软雅黑" w:eastAsia="微软雅黑" w:hAnsi="微软雅黑"/>
                <w:szCs w:val="21"/>
              </w:rPr>
            </w:pPr>
            <w:r>
              <w:rPr>
                <w:rFonts w:ascii="微软雅黑" w:eastAsia="微软雅黑" w:hAnsi="微软雅黑" w:hint="eastAsia"/>
                <w:szCs w:val="21"/>
              </w:rPr>
              <w:t>A029</w:t>
            </w:r>
            <w:r>
              <w:rPr>
                <w:rFonts w:ascii="微软雅黑" w:eastAsia="微软雅黑" w:hAnsi="微软雅黑" w:hint="eastAsia"/>
                <w:szCs w:val="21"/>
              </w:rPr>
              <w:t>30</w:t>
            </w:r>
          </w:p>
        </w:tc>
      </w:tr>
      <w:tr w:rsidR="00A563D1">
        <w:trPr>
          <w:jc w:val="center"/>
        </w:trPr>
        <w:tc>
          <w:tcPr>
            <w:tcW w:w="1730"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登记编码</w:t>
            </w:r>
          </w:p>
        </w:tc>
        <w:tc>
          <w:tcPr>
            <w:tcW w:w="7484" w:type="dxa"/>
          </w:tcPr>
          <w:p w:rsidR="00BB3FD6" w:rsidRDefault="00BB3FD6" w:rsidP="00BB3FD6">
            <w:pPr>
              <w:rPr>
                <w:rFonts w:ascii="宋体" w:hAnsi="宋体" w:cs="宋体"/>
                <w:color w:val="000000"/>
                <w:sz w:val="22"/>
              </w:rPr>
            </w:pPr>
            <w:r>
              <w:rPr>
                <w:rFonts w:hint="eastAsia"/>
                <w:color w:val="000000"/>
                <w:sz w:val="22"/>
              </w:rPr>
              <w:t>C1082920000201</w:t>
            </w:r>
          </w:p>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客户可根据该登记编码在“中国理财网（</w:t>
            </w:r>
            <w:r>
              <w:rPr>
                <w:rFonts w:ascii="微软雅黑" w:eastAsia="微软雅黑" w:hAnsi="微软雅黑"/>
                <w:szCs w:val="21"/>
              </w:rPr>
              <w:t>www.chinawealth.com.cn</w:t>
            </w:r>
            <w:r>
              <w:rPr>
                <w:rFonts w:ascii="微软雅黑" w:eastAsia="微软雅黑" w:hAnsi="微软雅黑" w:hint="eastAsia"/>
                <w:szCs w:val="21"/>
              </w:rPr>
              <w:t>）”查询该产品信息。</w:t>
            </w:r>
          </w:p>
        </w:tc>
      </w:tr>
      <w:tr w:rsidR="00A563D1">
        <w:trPr>
          <w:jc w:val="center"/>
        </w:trPr>
        <w:tc>
          <w:tcPr>
            <w:tcW w:w="1730" w:type="dxa"/>
          </w:tcPr>
          <w:p w:rsidR="00A563D1" w:rsidRDefault="00812934">
            <w:pPr>
              <w:spacing w:line="300" w:lineRule="exact"/>
              <w:rPr>
                <w:rFonts w:ascii="微软雅黑" w:eastAsia="微软雅黑" w:hAnsi="微软雅黑"/>
                <w:b/>
                <w:szCs w:val="21"/>
              </w:rPr>
            </w:pPr>
            <w:r>
              <w:rPr>
                <w:rFonts w:ascii="微软雅黑" w:eastAsia="微软雅黑" w:hAnsi="微软雅黑" w:hint="eastAsia"/>
                <w:szCs w:val="21"/>
              </w:rPr>
              <w:t xml:space="preserve">投资及收益币种   </w:t>
            </w:r>
          </w:p>
        </w:tc>
        <w:tc>
          <w:tcPr>
            <w:tcW w:w="7484"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人民币</w:t>
            </w:r>
          </w:p>
        </w:tc>
      </w:tr>
      <w:tr w:rsidR="00A563D1">
        <w:trPr>
          <w:jc w:val="center"/>
        </w:trPr>
        <w:tc>
          <w:tcPr>
            <w:tcW w:w="1730" w:type="dxa"/>
          </w:tcPr>
          <w:p w:rsidR="00A563D1" w:rsidRDefault="00812934">
            <w:pPr>
              <w:spacing w:line="300" w:lineRule="exact"/>
              <w:rPr>
                <w:rFonts w:ascii="微软雅黑" w:eastAsia="微软雅黑" w:hAnsi="微软雅黑"/>
                <w:b/>
                <w:szCs w:val="21"/>
              </w:rPr>
            </w:pPr>
            <w:r>
              <w:rPr>
                <w:rFonts w:ascii="微软雅黑" w:eastAsia="微软雅黑" w:hAnsi="微软雅黑" w:hint="eastAsia"/>
                <w:szCs w:val="21"/>
              </w:rPr>
              <w:t>产品类型</w:t>
            </w:r>
          </w:p>
        </w:tc>
        <w:tc>
          <w:tcPr>
            <w:tcW w:w="7484"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非保本浮动收益型</w:t>
            </w:r>
          </w:p>
        </w:tc>
      </w:tr>
      <w:tr w:rsidR="00A563D1">
        <w:trPr>
          <w:jc w:val="center"/>
        </w:trPr>
        <w:tc>
          <w:tcPr>
            <w:tcW w:w="1730"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流动性类型</w:t>
            </w:r>
          </w:p>
        </w:tc>
        <w:tc>
          <w:tcPr>
            <w:tcW w:w="7484"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封闭式</w:t>
            </w:r>
          </w:p>
        </w:tc>
      </w:tr>
      <w:tr w:rsidR="00A563D1">
        <w:trPr>
          <w:jc w:val="center"/>
        </w:trPr>
        <w:tc>
          <w:tcPr>
            <w:tcW w:w="1730"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产品风险等级</w:t>
            </w:r>
          </w:p>
        </w:tc>
        <w:tc>
          <w:tcPr>
            <w:tcW w:w="7484"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珠海华润银行对本理财计划风险等级的评定结果为</w:t>
            </w:r>
            <w:r>
              <w:rPr>
                <w:rFonts w:ascii="微软雅黑" w:eastAsia="微软雅黑" w:hAnsi="微软雅黑"/>
                <w:szCs w:val="21"/>
              </w:rPr>
              <w:t>R2级</w:t>
            </w:r>
          </w:p>
        </w:tc>
      </w:tr>
      <w:tr w:rsidR="00A563D1">
        <w:trPr>
          <w:jc w:val="center"/>
        </w:trPr>
        <w:tc>
          <w:tcPr>
            <w:tcW w:w="1730"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适合客户</w:t>
            </w:r>
          </w:p>
        </w:tc>
        <w:tc>
          <w:tcPr>
            <w:tcW w:w="7484"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经珠海华润银行评估，评定为稳健型、平衡型、成长型、进取型的个人客户</w:t>
            </w:r>
          </w:p>
        </w:tc>
      </w:tr>
      <w:tr w:rsidR="00A563D1">
        <w:trPr>
          <w:jc w:val="center"/>
        </w:trPr>
        <w:tc>
          <w:tcPr>
            <w:tcW w:w="1730"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产品规模</w:t>
            </w:r>
          </w:p>
        </w:tc>
        <w:tc>
          <w:tcPr>
            <w:tcW w:w="7484"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募集规模不超过20000万元。</w:t>
            </w:r>
          </w:p>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银行有权根据实际需要对产品规模进行调整，产品最终募集规模以银行实际募集的资金数额为准。</w:t>
            </w:r>
          </w:p>
        </w:tc>
      </w:tr>
      <w:tr w:rsidR="00A563D1">
        <w:trPr>
          <w:jc w:val="center"/>
        </w:trPr>
        <w:tc>
          <w:tcPr>
            <w:tcW w:w="1730"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期限</w:t>
            </w:r>
          </w:p>
        </w:tc>
        <w:tc>
          <w:tcPr>
            <w:tcW w:w="7484" w:type="dxa"/>
          </w:tcPr>
          <w:p w:rsidR="00A563D1" w:rsidRDefault="00054AC7">
            <w:pPr>
              <w:spacing w:line="300" w:lineRule="exact"/>
              <w:rPr>
                <w:rFonts w:ascii="微软雅黑" w:eastAsia="微软雅黑" w:hAnsi="微软雅黑"/>
                <w:szCs w:val="21"/>
                <w:u w:val="single"/>
              </w:rPr>
            </w:pPr>
            <w:r>
              <w:rPr>
                <w:rFonts w:ascii="微软雅黑" w:eastAsia="微软雅黑" w:hAnsi="微软雅黑"/>
                <w:szCs w:val="21"/>
                <w:u w:val="single"/>
              </w:rPr>
              <w:t>1</w:t>
            </w:r>
            <w:r>
              <w:rPr>
                <w:rFonts w:ascii="微软雅黑" w:eastAsia="微软雅黑" w:hAnsi="微软雅黑" w:hint="eastAsia"/>
                <w:szCs w:val="21"/>
                <w:u w:val="single"/>
              </w:rPr>
              <w:t>54</w:t>
            </w:r>
            <w:r w:rsidR="00812934">
              <w:rPr>
                <w:rFonts w:ascii="微软雅黑" w:eastAsia="微软雅黑" w:hAnsi="微软雅黑" w:hint="eastAsia"/>
                <w:szCs w:val="21"/>
              </w:rPr>
              <w:t>天。从成立日（含）至到期日（不含）</w:t>
            </w:r>
          </w:p>
        </w:tc>
      </w:tr>
      <w:tr w:rsidR="00A563D1">
        <w:trPr>
          <w:jc w:val="center"/>
        </w:trPr>
        <w:tc>
          <w:tcPr>
            <w:tcW w:w="1730" w:type="dxa"/>
          </w:tcPr>
          <w:p w:rsidR="00A563D1" w:rsidRDefault="00812934">
            <w:pPr>
              <w:spacing w:line="300" w:lineRule="exact"/>
              <w:rPr>
                <w:rFonts w:ascii="微软雅黑" w:eastAsia="微软雅黑" w:hAnsi="微软雅黑"/>
                <w:b/>
                <w:szCs w:val="21"/>
              </w:rPr>
            </w:pPr>
            <w:r>
              <w:rPr>
                <w:rFonts w:ascii="微软雅黑" w:eastAsia="微软雅黑" w:hAnsi="微软雅黑" w:hint="eastAsia"/>
                <w:szCs w:val="21"/>
              </w:rPr>
              <w:t>认购起点金额</w:t>
            </w:r>
          </w:p>
        </w:tc>
        <w:tc>
          <w:tcPr>
            <w:tcW w:w="7484" w:type="dxa"/>
          </w:tcPr>
          <w:p w:rsidR="00A563D1" w:rsidRDefault="00812934">
            <w:pPr>
              <w:spacing w:line="300" w:lineRule="exact"/>
              <w:rPr>
                <w:rFonts w:ascii="微软雅黑" w:eastAsia="微软雅黑" w:hAnsi="微软雅黑"/>
                <w:szCs w:val="21"/>
                <w:u w:val="single"/>
              </w:rPr>
            </w:pPr>
            <w:r>
              <w:rPr>
                <w:rFonts w:ascii="微软雅黑" w:eastAsia="微软雅黑" w:hAnsi="微软雅黑" w:hint="eastAsia"/>
                <w:szCs w:val="21"/>
              </w:rPr>
              <w:t>认购起点金额为</w:t>
            </w:r>
            <w:r>
              <w:rPr>
                <w:rFonts w:ascii="微软雅黑" w:eastAsia="微软雅黑" w:hAnsi="微软雅黑" w:hint="eastAsia"/>
                <w:szCs w:val="21"/>
                <w:u w:val="single"/>
              </w:rPr>
              <w:t>5</w:t>
            </w:r>
            <w:r>
              <w:rPr>
                <w:rFonts w:ascii="微软雅黑" w:eastAsia="微软雅黑" w:hAnsi="微软雅黑" w:hint="eastAsia"/>
                <w:szCs w:val="21"/>
              </w:rPr>
              <w:t>万元；超过认购起点部分，以1万元递增。</w:t>
            </w:r>
          </w:p>
        </w:tc>
      </w:tr>
      <w:tr w:rsidR="00A563D1">
        <w:trPr>
          <w:jc w:val="center"/>
        </w:trPr>
        <w:tc>
          <w:tcPr>
            <w:tcW w:w="1730"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存续期</w:t>
            </w:r>
          </w:p>
        </w:tc>
        <w:tc>
          <w:tcPr>
            <w:tcW w:w="7484"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产品成立日（含）</w:t>
            </w:r>
            <w:proofErr w:type="gramStart"/>
            <w:r>
              <w:rPr>
                <w:rFonts w:ascii="微软雅黑" w:eastAsia="微软雅黑" w:hAnsi="微软雅黑" w:hint="eastAsia"/>
                <w:szCs w:val="21"/>
              </w:rPr>
              <w:t>至产品</w:t>
            </w:r>
            <w:proofErr w:type="gramEnd"/>
            <w:r>
              <w:rPr>
                <w:rFonts w:ascii="微软雅黑" w:eastAsia="微软雅黑" w:hAnsi="微软雅黑" w:hint="eastAsia"/>
                <w:szCs w:val="21"/>
              </w:rPr>
              <w:t>到期日（不含）或提前终止日（不含）</w:t>
            </w:r>
          </w:p>
        </w:tc>
      </w:tr>
      <w:tr w:rsidR="00A563D1">
        <w:trPr>
          <w:jc w:val="center"/>
        </w:trPr>
        <w:tc>
          <w:tcPr>
            <w:tcW w:w="1730"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认购期</w:t>
            </w:r>
          </w:p>
          <w:p w:rsidR="00A563D1" w:rsidRDefault="00812934">
            <w:pPr>
              <w:spacing w:line="300" w:lineRule="exact"/>
              <w:rPr>
                <w:rFonts w:ascii="微软雅黑" w:eastAsia="微软雅黑" w:hAnsi="微软雅黑"/>
                <w:b/>
                <w:szCs w:val="21"/>
              </w:rPr>
            </w:pPr>
            <w:r>
              <w:rPr>
                <w:rFonts w:ascii="微软雅黑" w:eastAsia="微软雅黑" w:hAnsi="微软雅黑" w:hint="eastAsia"/>
                <w:szCs w:val="21"/>
              </w:rPr>
              <w:t xml:space="preserve">及认购时间  </w:t>
            </w:r>
          </w:p>
        </w:tc>
        <w:tc>
          <w:tcPr>
            <w:tcW w:w="7484"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认购期：自</w:t>
            </w:r>
            <w:r w:rsidR="00BB3FD6">
              <w:rPr>
                <w:rFonts w:ascii="微软雅黑" w:eastAsia="微软雅黑" w:hAnsi="微软雅黑" w:hint="eastAsia"/>
                <w:szCs w:val="21"/>
              </w:rPr>
              <w:t>2021年01月</w:t>
            </w:r>
            <w:r w:rsidR="00BB3FD6">
              <w:rPr>
                <w:rFonts w:ascii="微软雅黑" w:eastAsia="微软雅黑" w:hAnsi="微软雅黑" w:hint="eastAsia"/>
                <w:szCs w:val="21"/>
              </w:rPr>
              <w:t>13</w:t>
            </w:r>
            <w:r>
              <w:rPr>
                <w:rFonts w:ascii="微软雅黑" w:eastAsia="微软雅黑" w:hAnsi="微软雅黑" w:hint="eastAsia"/>
                <w:szCs w:val="21"/>
              </w:rPr>
              <w:t>日9:00起，</w:t>
            </w:r>
            <w:r w:rsidR="00054AC7">
              <w:rPr>
                <w:rFonts w:ascii="微软雅黑" w:eastAsia="微软雅黑" w:hAnsi="微软雅黑" w:hint="eastAsia"/>
                <w:szCs w:val="21"/>
              </w:rPr>
              <w:t>2021</w:t>
            </w:r>
            <w:r>
              <w:rPr>
                <w:rFonts w:ascii="微软雅黑" w:eastAsia="微软雅黑" w:hAnsi="微软雅黑" w:hint="eastAsia"/>
                <w:szCs w:val="21"/>
              </w:rPr>
              <w:t>年</w:t>
            </w:r>
            <w:r w:rsidR="00BB3FD6">
              <w:rPr>
                <w:rFonts w:ascii="微软雅黑" w:eastAsia="微软雅黑" w:hAnsi="微软雅黑" w:hint="eastAsia"/>
                <w:szCs w:val="21"/>
              </w:rPr>
              <w:t>0</w:t>
            </w:r>
            <w:r w:rsidR="00BB3FD6">
              <w:rPr>
                <w:rFonts w:ascii="微软雅黑" w:eastAsia="微软雅黑" w:hAnsi="微软雅黑" w:hint="eastAsia"/>
                <w:szCs w:val="21"/>
              </w:rPr>
              <w:t>1</w:t>
            </w:r>
            <w:r>
              <w:rPr>
                <w:rFonts w:ascii="微软雅黑" w:eastAsia="微软雅黑" w:hAnsi="微软雅黑" w:hint="eastAsia"/>
                <w:szCs w:val="21"/>
              </w:rPr>
              <w:t>月</w:t>
            </w:r>
            <w:r w:rsidR="00BB3FD6">
              <w:rPr>
                <w:rFonts w:ascii="微软雅黑" w:eastAsia="微软雅黑" w:hAnsi="微软雅黑" w:hint="eastAsia"/>
                <w:szCs w:val="21"/>
              </w:rPr>
              <w:t>1</w:t>
            </w:r>
            <w:r w:rsidR="00BB3FD6">
              <w:rPr>
                <w:rFonts w:ascii="微软雅黑" w:eastAsia="微软雅黑" w:hAnsi="微软雅黑" w:hint="eastAsia"/>
                <w:szCs w:val="21"/>
              </w:rPr>
              <w:t>9</w:t>
            </w:r>
            <w:r>
              <w:rPr>
                <w:rFonts w:ascii="微软雅黑" w:eastAsia="微软雅黑" w:hAnsi="微软雅黑" w:hint="eastAsia"/>
                <w:szCs w:val="21"/>
              </w:rPr>
              <w:t>日17:00止；</w:t>
            </w:r>
          </w:p>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认购时间：认购期内每个工作日9:00-17:00；</w:t>
            </w:r>
          </w:p>
          <w:p w:rsidR="00A563D1" w:rsidRDefault="00812934">
            <w:pPr>
              <w:spacing w:line="300" w:lineRule="exact"/>
              <w:rPr>
                <w:rFonts w:ascii="微软雅黑" w:eastAsia="微软雅黑" w:hAnsi="微软雅黑"/>
                <w:b/>
                <w:szCs w:val="21"/>
              </w:rPr>
            </w:pPr>
            <w:r>
              <w:rPr>
                <w:rFonts w:ascii="微软雅黑" w:eastAsia="微软雅黑" w:hAnsi="微软雅黑" w:hint="eastAsia"/>
                <w:szCs w:val="21"/>
              </w:rPr>
              <w:t>预受理：认购期内非认购时间的购买为预受理，受理结果请于下一工作日9:00后查询，监管部门另有规定的除外。</w:t>
            </w:r>
          </w:p>
        </w:tc>
      </w:tr>
      <w:tr w:rsidR="00A563D1">
        <w:trPr>
          <w:jc w:val="center"/>
        </w:trPr>
        <w:tc>
          <w:tcPr>
            <w:tcW w:w="1730" w:type="dxa"/>
          </w:tcPr>
          <w:p w:rsidR="00A563D1" w:rsidRDefault="00812934">
            <w:pPr>
              <w:spacing w:line="300" w:lineRule="exact"/>
              <w:rPr>
                <w:rFonts w:ascii="微软雅黑" w:eastAsia="微软雅黑" w:hAnsi="微软雅黑"/>
                <w:b/>
                <w:szCs w:val="21"/>
              </w:rPr>
            </w:pPr>
            <w:r>
              <w:rPr>
                <w:rFonts w:ascii="微软雅黑" w:eastAsia="微软雅黑" w:hAnsi="微软雅黑" w:hint="eastAsia"/>
                <w:szCs w:val="21"/>
              </w:rPr>
              <w:t>购买方式</w:t>
            </w:r>
          </w:p>
        </w:tc>
        <w:tc>
          <w:tcPr>
            <w:tcW w:w="7484" w:type="dxa"/>
          </w:tcPr>
          <w:p w:rsidR="00A563D1" w:rsidRDefault="00812934">
            <w:pPr>
              <w:spacing w:line="300" w:lineRule="exact"/>
              <w:rPr>
                <w:rFonts w:ascii="微软雅黑" w:eastAsia="微软雅黑" w:hAnsi="微软雅黑"/>
                <w:b/>
                <w:szCs w:val="21"/>
              </w:rPr>
            </w:pPr>
            <w:r>
              <w:rPr>
                <w:rFonts w:ascii="微软雅黑" w:eastAsia="微软雅黑" w:hAnsi="微软雅黑" w:hint="eastAsia"/>
                <w:szCs w:val="21"/>
              </w:rPr>
              <w:t>在理财计划认购期内，请携带本人身份证件和德庆华润村镇银行活期存折/银行卡到德庆华润村镇银行营业网点办理。</w:t>
            </w:r>
          </w:p>
        </w:tc>
      </w:tr>
      <w:tr w:rsidR="00A563D1">
        <w:trPr>
          <w:jc w:val="center"/>
        </w:trPr>
        <w:tc>
          <w:tcPr>
            <w:tcW w:w="1730" w:type="dxa"/>
            <w:vAlign w:val="center"/>
          </w:tcPr>
          <w:p w:rsidR="00A563D1" w:rsidRDefault="00812934">
            <w:pPr>
              <w:widowControl/>
              <w:spacing w:before="100" w:beforeAutospacing="1" w:after="100" w:afterAutospacing="1" w:line="300" w:lineRule="exact"/>
              <w:rPr>
                <w:rFonts w:ascii="微软雅黑" w:eastAsia="微软雅黑" w:hAnsi="微软雅黑"/>
                <w:szCs w:val="21"/>
              </w:rPr>
            </w:pPr>
            <w:r>
              <w:rPr>
                <w:rFonts w:ascii="微软雅黑" w:eastAsia="微软雅黑" w:hAnsi="微软雅黑"/>
                <w:szCs w:val="21"/>
              </w:rPr>
              <w:lastRenderedPageBreak/>
              <w:t>认购撤单</w:t>
            </w:r>
          </w:p>
        </w:tc>
        <w:tc>
          <w:tcPr>
            <w:tcW w:w="7484" w:type="dxa"/>
            <w:vAlign w:val="center"/>
          </w:tcPr>
          <w:p w:rsidR="00A563D1" w:rsidRDefault="00812934">
            <w:pPr>
              <w:widowControl/>
              <w:spacing w:before="100" w:beforeAutospacing="1" w:after="100" w:afterAutospacing="1" w:line="300" w:lineRule="exact"/>
              <w:jc w:val="left"/>
              <w:rPr>
                <w:rFonts w:ascii="微软雅黑" w:eastAsia="微软雅黑" w:hAnsi="微软雅黑"/>
                <w:szCs w:val="21"/>
              </w:rPr>
            </w:pPr>
            <w:r>
              <w:rPr>
                <w:rFonts w:ascii="微软雅黑" w:eastAsia="微软雅黑" w:hAnsi="微软雅黑" w:hint="eastAsia"/>
                <w:szCs w:val="21"/>
              </w:rPr>
              <w:t>认购期内，在认购时间允许撤单。</w:t>
            </w:r>
          </w:p>
        </w:tc>
      </w:tr>
      <w:tr w:rsidR="00A563D1">
        <w:trPr>
          <w:jc w:val="center"/>
        </w:trPr>
        <w:tc>
          <w:tcPr>
            <w:tcW w:w="1730"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认购期</w:t>
            </w:r>
          </w:p>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内计息</w:t>
            </w:r>
          </w:p>
        </w:tc>
        <w:tc>
          <w:tcPr>
            <w:tcW w:w="7484"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认购资金在认购期内按活期利率计算利息，认购期内利息不计入认购本金份额</w:t>
            </w:r>
          </w:p>
        </w:tc>
      </w:tr>
      <w:tr w:rsidR="00A563D1">
        <w:trPr>
          <w:jc w:val="center"/>
        </w:trPr>
        <w:tc>
          <w:tcPr>
            <w:tcW w:w="1730" w:type="dxa"/>
          </w:tcPr>
          <w:p w:rsidR="00A563D1" w:rsidRDefault="00812934">
            <w:pPr>
              <w:spacing w:line="300" w:lineRule="exact"/>
              <w:rPr>
                <w:rFonts w:ascii="微软雅黑" w:eastAsia="微软雅黑" w:hAnsi="微软雅黑"/>
                <w:b/>
                <w:szCs w:val="21"/>
              </w:rPr>
            </w:pPr>
            <w:r>
              <w:rPr>
                <w:rFonts w:ascii="微软雅黑" w:eastAsia="微软雅黑" w:hAnsi="微软雅黑" w:hint="eastAsia"/>
                <w:szCs w:val="21"/>
              </w:rPr>
              <w:t xml:space="preserve">登记日  </w:t>
            </w:r>
          </w:p>
        </w:tc>
        <w:tc>
          <w:tcPr>
            <w:tcW w:w="7484" w:type="dxa"/>
          </w:tcPr>
          <w:p w:rsidR="00A563D1" w:rsidRDefault="00812934" w:rsidP="00BB3FD6">
            <w:pPr>
              <w:spacing w:line="300" w:lineRule="exact"/>
              <w:rPr>
                <w:rFonts w:ascii="微软雅黑" w:eastAsia="微软雅黑" w:hAnsi="微软雅黑"/>
                <w:szCs w:val="21"/>
              </w:rPr>
            </w:pPr>
            <w:r>
              <w:rPr>
                <w:rFonts w:ascii="微软雅黑" w:eastAsia="微软雅黑" w:hAnsi="微软雅黑" w:hint="eastAsia"/>
                <w:szCs w:val="21"/>
              </w:rPr>
              <w:t>登记日为</w:t>
            </w:r>
            <w:r w:rsidR="00BB3FD6">
              <w:rPr>
                <w:rFonts w:ascii="微软雅黑" w:eastAsia="微软雅黑" w:hAnsi="微软雅黑" w:hint="eastAsia"/>
                <w:szCs w:val="21"/>
              </w:rPr>
              <w:t>2021年01月</w:t>
            </w:r>
            <w:r w:rsidR="00BB3FD6">
              <w:rPr>
                <w:rFonts w:ascii="微软雅黑" w:eastAsia="微软雅黑" w:hAnsi="微软雅黑" w:hint="eastAsia"/>
                <w:szCs w:val="21"/>
              </w:rPr>
              <w:t>20</w:t>
            </w:r>
            <w:r>
              <w:rPr>
                <w:rFonts w:ascii="微软雅黑" w:eastAsia="微软雅黑" w:hAnsi="微软雅黑" w:hint="eastAsia"/>
                <w:szCs w:val="21"/>
              </w:rPr>
              <w:t>日</w:t>
            </w:r>
          </w:p>
        </w:tc>
      </w:tr>
      <w:tr w:rsidR="00A563D1">
        <w:trPr>
          <w:jc w:val="center"/>
        </w:trPr>
        <w:tc>
          <w:tcPr>
            <w:tcW w:w="1730" w:type="dxa"/>
          </w:tcPr>
          <w:p w:rsidR="00A563D1" w:rsidRDefault="00812934">
            <w:pPr>
              <w:spacing w:line="300" w:lineRule="exact"/>
              <w:rPr>
                <w:rFonts w:ascii="微软雅黑" w:eastAsia="微软雅黑" w:hAnsi="微软雅黑"/>
                <w:b/>
                <w:szCs w:val="21"/>
              </w:rPr>
            </w:pPr>
            <w:r>
              <w:rPr>
                <w:rFonts w:ascii="微软雅黑" w:eastAsia="微软雅黑" w:hAnsi="微软雅黑" w:hint="eastAsia"/>
                <w:szCs w:val="21"/>
              </w:rPr>
              <w:t>成立日/起息日</w:t>
            </w:r>
          </w:p>
        </w:tc>
        <w:tc>
          <w:tcPr>
            <w:tcW w:w="7484" w:type="dxa"/>
          </w:tcPr>
          <w:p w:rsidR="00A563D1" w:rsidRDefault="00812934" w:rsidP="00BB3FD6">
            <w:pPr>
              <w:spacing w:line="300" w:lineRule="exact"/>
              <w:rPr>
                <w:rFonts w:ascii="微软雅黑" w:eastAsia="微软雅黑" w:hAnsi="微软雅黑"/>
                <w:szCs w:val="21"/>
              </w:rPr>
            </w:pPr>
            <w:r>
              <w:rPr>
                <w:rFonts w:ascii="微软雅黑" w:eastAsia="微软雅黑" w:hAnsi="微软雅黑" w:hint="eastAsia"/>
                <w:szCs w:val="21"/>
              </w:rPr>
              <w:t>成立日/起息日为</w:t>
            </w:r>
            <w:r w:rsidR="00BB3FD6">
              <w:rPr>
                <w:rFonts w:ascii="微软雅黑" w:eastAsia="微软雅黑" w:hAnsi="微软雅黑" w:hint="eastAsia"/>
                <w:szCs w:val="21"/>
              </w:rPr>
              <w:t>2021年01月</w:t>
            </w:r>
            <w:r w:rsidR="00BB3FD6">
              <w:rPr>
                <w:rFonts w:ascii="微软雅黑" w:eastAsia="微软雅黑" w:hAnsi="微软雅黑" w:hint="eastAsia"/>
                <w:szCs w:val="21"/>
              </w:rPr>
              <w:t>20</w:t>
            </w:r>
            <w:r>
              <w:rPr>
                <w:rFonts w:ascii="微软雅黑" w:eastAsia="微软雅黑" w:hAnsi="微软雅黑" w:hint="eastAsia"/>
                <w:szCs w:val="21"/>
              </w:rPr>
              <w:t>日，理财计划自成立日起计算收益</w:t>
            </w:r>
          </w:p>
        </w:tc>
      </w:tr>
      <w:tr w:rsidR="00A563D1">
        <w:trPr>
          <w:jc w:val="center"/>
        </w:trPr>
        <w:tc>
          <w:tcPr>
            <w:tcW w:w="1730" w:type="dxa"/>
          </w:tcPr>
          <w:p w:rsidR="00A563D1" w:rsidRDefault="00812934">
            <w:pPr>
              <w:spacing w:line="300" w:lineRule="exact"/>
              <w:rPr>
                <w:rFonts w:ascii="微软雅黑" w:eastAsia="微软雅黑" w:hAnsi="微软雅黑"/>
                <w:b/>
                <w:szCs w:val="21"/>
              </w:rPr>
            </w:pPr>
            <w:r>
              <w:rPr>
                <w:rFonts w:ascii="微软雅黑" w:eastAsia="微软雅黑" w:hAnsi="微软雅黑" w:hint="eastAsia"/>
                <w:szCs w:val="21"/>
              </w:rPr>
              <w:t>到期日</w:t>
            </w:r>
          </w:p>
        </w:tc>
        <w:tc>
          <w:tcPr>
            <w:tcW w:w="7484" w:type="dxa"/>
          </w:tcPr>
          <w:p w:rsidR="00A563D1" w:rsidRDefault="00812934" w:rsidP="00BB3FD6">
            <w:pPr>
              <w:spacing w:line="300" w:lineRule="exact"/>
              <w:rPr>
                <w:rFonts w:ascii="微软雅黑" w:eastAsia="微软雅黑" w:hAnsi="微软雅黑"/>
                <w:b/>
                <w:szCs w:val="21"/>
              </w:rPr>
            </w:pPr>
            <w:r>
              <w:rPr>
                <w:rFonts w:ascii="微软雅黑" w:eastAsia="微软雅黑" w:hAnsi="微软雅黑" w:hint="eastAsia"/>
                <w:szCs w:val="21"/>
              </w:rPr>
              <w:t>到期日为</w:t>
            </w:r>
            <w:r w:rsidR="00BB3FD6">
              <w:rPr>
                <w:rFonts w:ascii="微软雅黑" w:eastAsia="微软雅黑" w:hAnsi="微软雅黑" w:hint="eastAsia"/>
                <w:szCs w:val="21"/>
              </w:rPr>
              <w:t>2021年06月</w:t>
            </w:r>
            <w:r w:rsidR="00BB3FD6">
              <w:rPr>
                <w:rFonts w:ascii="微软雅黑" w:eastAsia="微软雅黑" w:hAnsi="微软雅黑" w:hint="eastAsia"/>
                <w:szCs w:val="21"/>
              </w:rPr>
              <w:t>23</w:t>
            </w:r>
            <w:bookmarkStart w:id="0" w:name="_GoBack"/>
            <w:bookmarkEnd w:id="0"/>
            <w:r>
              <w:rPr>
                <w:rFonts w:ascii="微软雅黑" w:eastAsia="微软雅黑" w:hAnsi="微软雅黑" w:hint="eastAsia"/>
                <w:szCs w:val="21"/>
              </w:rPr>
              <w:t>日 ，实际产品期限受制于银行提前终止条款。</w:t>
            </w:r>
          </w:p>
        </w:tc>
      </w:tr>
      <w:tr w:rsidR="00A563D1">
        <w:trPr>
          <w:jc w:val="center"/>
        </w:trPr>
        <w:tc>
          <w:tcPr>
            <w:tcW w:w="1730"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资金到账日</w:t>
            </w:r>
          </w:p>
        </w:tc>
        <w:tc>
          <w:tcPr>
            <w:tcW w:w="7484"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到期日后2个工作日内或提前终止日后2个工作日内</w:t>
            </w:r>
          </w:p>
        </w:tc>
      </w:tr>
      <w:tr w:rsidR="00A563D1">
        <w:trPr>
          <w:jc w:val="center"/>
        </w:trPr>
        <w:tc>
          <w:tcPr>
            <w:tcW w:w="1730" w:type="dxa"/>
          </w:tcPr>
          <w:p w:rsidR="00A563D1" w:rsidRDefault="00812934">
            <w:pPr>
              <w:spacing w:line="300" w:lineRule="exact"/>
              <w:rPr>
                <w:rFonts w:ascii="微软雅黑" w:eastAsia="微软雅黑" w:hAnsi="微软雅黑"/>
                <w:b/>
                <w:szCs w:val="21"/>
              </w:rPr>
            </w:pPr>
            <w:r>
              <w:rPr>
                <w:rFonts w:ascii="微软雅黑" w:eastAsia="微软雅黑" w:hAnsi="微软雅黑" w:hint="eastAsia"/>
                <w:szCs w:val="21"/>
              </w:rPr>
              <w:t xml:space="preserve">清算期  </w:t>
            </w:r>
          </w:p>
        </w:tc>
        <w:tc>
          <w:tcPr>
            <w:tcW w:w="7484" w:type="dxa"/>
          </w:tcPr>
          <w:p w:rsidR="00A563D1" w:rsidRDefault="00812934">
            <w:pPr>
              <w:spacing w:line="300" w:lineRule="exact"/>
              <w:rPr>
                <w:rFonts w:ascii="微软雅黑" w:eastAsia="微软雅黑" w:hAnsi="微软雅黑"/>
                <w:b/>
                <w:szCs w:val="21"/>
              </w:rPr>
            </w:pPr>
            <w:r>
              <w:rPr>
                <w:rFonts w:ascii="微软雅黑" w:eastAsia="微软雅黑" w:hAnsi="微软雅黑" w:hint="eastAsia"/>
                <w:szCs w:val="21"/>
              </w:rPr>
              <w:t>到期日或提前终止日至理财资金返还到账日为清算期，清算期内不计付利息。</w:t>
            </w:r>
          </w:p>
        </w:tc>
      </w:tr>
      <w:tr w:rsidR="00A563D1">
        <w:trPr>
          <w:jc w:val="center"/>
        </w:trPr>
        <w:tc>
          <w:tcPr>
            <w:tcW w:w="1730" w:type="dxa"/>
          </w:tcPr>
          <w:p w:rsidR="00A563D1" w:rsidRDefault="00812934">
            <w:pPr>
              <w:spacing w:line="300" w:lineRule="exact"/>
              <w:rPr>
                <w:rFonts w:ascii="微软雅黑" w:eastAsia="微软雅黑" w:hAnsi="微软雅黑"/>
                <w:b/>
                <w:szCs w:val="21"/>
              </w:rPr>
            </w:pPr>
            <w:r>
              <w:rPr>
                <w:rFonts w:ascii="微软雅黑" w:eastAsia="微软雅黑" w:hAnsi="微软雅黑" w:hint="eastAsia"/>
                <w:szCs w:val="21"/>
              </w:rPr>
              <w:t xml:space="preserve">赎回  </w:t>
            </w:r>
          </w:p>
        </w:tc>
        <w:tc>
          <w:tcPr>
            <w:tcW w:w="7484" w:type="dxa"/>
          </w:tcPr>
          <w:p w:rsidR="00A563D1" w:rsidRDefault="00812934">
            <w:pPr>
              <w:spacing w:line="300" w:lineRule="exact"/>
              <w:rPr>
                <w:rFonts w:ascii="微软雅黑" w:eastAsia="微软雅黑" w:hAnsi="微软雅黑"/>
                <w:b/>
                <w:szCs w:val="21"/>
              </w:rPr>
            </w:pPr>
            <w:r>
              <w:rPr>
                <w:rFonts w:ascii="微软雅黑" w:eastAsia="微软雅黑" w:hAnsi="微软雅黑" w:hint="eastAsia"/>
                <w:szCs w:val="21"/>
              </w:rPr>
              <w:t>投资者认购本理财计划，且本理财计划成立后，投资者不能提前赎回。</w:t>
            </w:r>
          </w:p>
        </w:tc>
      </w:tr>
      <w:tr w:rsidR="00A563D1">
        <w:trPr>
          <w:jc w:val="center"/>
        </w:trPr>
        <w:tc>
          <w:tcPr>
            <w:tcW w:w="1730" w:type="dxa"/>
          </w:tcPr>
          <w:p w:rsidR="00A563D1" w:rsidRDefault="00812934">
            <w:pPr>
              <w:spacing w:line="300" w:lineRule="exact"/>
              <w:rPr>
                <w:rFonts w:ascii="微软雅黑" w:eastAsia="微软雅黑" w:hAnsi="微软雅黑"/>
                <w:b/>
                <w:szCs w:val="21"/>
              </w:rPr>
            </w:pPr>
            <w:r>
              <w:rPr>
                <w:rFonts w:ascii="微软雅黑" w:eastAsia="微软雅黑" w:hAnsi="微软雅黑" w:hint="eastAsia"/>
                <w:szCs w:val="21"/>
              </w:rPr>
              <w:t xml:space="preserve">提前终止权  </w:t>
            </w:r>
          </w:p>
        </w:tc>
        <w:tc>
          <w:tcPr>
            <w:tcW w:w="7484"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本理财计划成立后，投资者无权提前终止该理财计划；珠海华润银行有权但无义务提前终止该计划。详细内容见以下“提前终止”</w:t>
            </w:r>
          </w:p>
        </w:tc>
      </w:tr>
      <w:tr w:rsidR="00A563D1">
        <w:trPr>
          <w:jc w:val="center"/>
        </w:trPr>
        <w:tc>
          <w:tcPr>
            <w:tcW w:w="1730"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托管人</w:t>
            </w:r>
          </w:p>
        </w:tc>
        <w:tc>
          <w:tcPr>
            <w:tcW w:w="7484"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邮政储蓄/华夏银行深圳分行</w:t>
            </w:r>
          </w:p>
        </w:tc>
      </w:tr>
      <w:tr w:rsidR="00A563D1">
        <w:trPr>
          <w:jc w:val="center"/>
        </w:trPr>
        <w:tc>
          <w:tcPr>
            <w:tcW w:w="1730"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托管费率</w:t>
            </w:r>
          </w:p>
        </w:tc>
        <w:tc>
          <w:tcPr>
            <w:tcW w:w="7484"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0.01%-</w:t>
            </w:r>
            <w:r>
              <w:rPr>
                <w:rFonts w:ascii="微软雅黑" w:eastAsia="微软雅黑" w:hAnsi="微软雅黑"/>
                <w:szCs w:val="21"/>
              </w:rPr>
              <w:t>0.02%/</w:t>
            </w:r>
            <w:r>
              <w:rPr>
                <w:rFonts w:ascii="微软雅黑" w:eastAsia="微软雅黑" w:hAnsi="微软雅黑" w:hint="eastAsia"/>
                <w:szCs w:val="21"/>
              </w:rPr>
              <w:t>年</w:t>
            </w:r>
          </w:p>
        </w:tc>
      </w:tr>
      <w:tr w:rsidR="00A563D1">
        <w:trPr>
          <w:jc w:val="center"/>
        </w:trPr>
        <w:tc>
          <w:tcPr>
            <w:tcW w:w="1730"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代销销售费率</w:t>
            </w:r>
          </w:p>
        </w:tc>
        <w:tc>
          <w:tcPr>
            <w:tcW w:w="7484"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按募集本金余额</w:t>
            </w:r>
            <w:proofErr w:type="gramStart"/>
            <w:r>
              <w:rPr>
                <w:rFonts w:ascii="微软雅黑" w:eastAsia="微软雅黑" w:hAnsi="微软雅黑" w:hint="eastAsia"/>
                <w:szCs w:val="21"/>
              </w:rPr>
              <w:t>收取年化</w:t>
            </w:r>
            <w:proofErr w:type="gramEnd"/>
            <w:r>
              <w:rPr>
                <w:rFonts w:ascii="微软雅黑" w:eastAsia="微软雅黑" w:hAnsi="微软雅黑" w:hint="eastAsia"/>
                <w:szCs w:val="21"/>
              </w:rPr>
              <w:t>0.15</w:t>
            </w:r>
            <w:r>
              <w:rPr>
                <w:rFonts w:ascii="微软雅黑" w:eastAsia="微软雅黑" w:hAnsi="微软雅黑"/>
                <w:szCs w:val="21"/>
              </w:rPr>
              <w:t>%</w:t>
            </w:r>
            <w:r>
              <w:rPr>
                <w:rFonts w:ascii="微软雅黑" w:eastAsia="微软雅黑" w:hAnsi="微软雅黑" w:hint="eastAsia"/>
                <w:szCs w:val="21"/>
              </w:rPr>
              <w:t>的销售费，销售费按日计算。</w:t>
            </w:r>
          </w:p>
        </w:tc>
      </w:tr>
      <w:tr w:rsidR="00A563D1">
        <w:trPr>
          <w:jc w:val="center"/>
        </w:trPr>
        <w:tc>
          <w:tcPr>
            <w:tcW w:w="1730"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投资管理费</w:t>
            </w:r>
          </w:p>
        </w:tc>
        <w:tc>
          <w:tcPr>
            <w:tcW w:w="7484"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扣除托管费、代销销售费后</w:t>
            </w:r>
            <w:r>
              <w:rPr>
                <w:rFonts w:ascii="微软雅黑" w:eastAsia="微软雅黑" w:hAnsi="微软雅黑"/>
                <w:szCs w:val="21"/>
              </w:rPr>
              <w:t>,</w:t>
            </w:r>
            <w:proofErr w:type="gramStart"/>
            <w:r>
              <w:rPr>
                <w:rFonts w:ascii="微软雅黑" w:eastAsia="微软雅黑" w:hAnsi="微软雅黑" w:hint="eastAsia"/>
                <w:szCs w:val="21"/>
              </w:rPr>
              <w:t>实际年化收益率</w:t>
            </w:r>
            <w:proofErr w:type="gramEnd"/>
            <w:r>
              <w:rPr>
                <w:rFonts w:ascii="微软雅黑" w:eastAsia="微软雅黑" w:hAnsi="微软雅黑" w:hint="eastAsia"/>
                <w:szCs w:val="21"/>
              </w:rPr>
              <w:t>超出经测算可达</w:t>
            </w:r>
            <w:proofErr w:type="gramStart"/>
            <w:r>
              <w:rPr>
                <w:rFonts w:ascii="微软雅黑" w:eastAsia="微软雅黑" w:hAnsi="微软雅黑" w:hint="eastAsia"/>
                <w:szCs w:val="21"/>
              </w:rPr>
              <w:t>的年化收益率</w:t>
            </w:r>
            <w:proofErr w:type="gramEnd"/>
            <w:r>
              <w:rPr>
                <w:rFonts w:ascii="微软雅黑" w:eastAsia="微软雅黑" w:hAnsi="微软雅黑" w:hint="eastAsia"/>
                <w:szCs w:val="21"/>
              </w:rPr>
              <w:t>，超出部分作为我行管理费，期满支付；</w:t>
            </w:r>
            <w:proofErr w:type="gramStart"/>
            <w:r>
              <w:rPr>
                <w:rFonts w:ascii="微软雅黑" w:eastAsia="微软雅黑" w:hAnsi="微软雅黑" w:hint="eastAsia"/>
                <w:szCs w:val="21"/>
              </w:rPr>
              <w:t>实际年化收益率</w:t>
            </w:r>
            <w:proofErr w:type="gramEnd"/>
            <w:r>
              <w:rPr>
                <w:rFonts w:ascii="微软雅黑" w:eastAsia="微软雅黑" w:hAnsi="微软雅黑" w:hint="eastAsia"/>
                <w:szCs w:val="21"/>
              </w:rPr>
              <w:t>等于或少于经测算可达</w:t>
            </w:r>
            <w:proofErr w:type="gramStart"/>
            <w:r>
              <w:rPr>
                <w:rFonts w:ascii="微软雅黑" w:eastAsia="微软雅黑" w:hAnsi="微软雅黑" w:hint="eastAsia"/>
                <w:szCs w:val="21"/>
              </w:rPr>
              <w:t>的年化收益率</w:t>
            </w:r>
            <w:proofErr w:type="gramEnd"/>
            <w:r>
              <w:rPr>
                <w:rFonts w:ascii="微软雅黑" w:eastAsia="微软雅黑" w:hAnsi="微软雅黑" w:hint="eastAsia"/>
                <w:szCs w:val="21"/>
              </w:rPr>
              <w:t>，则不收取管理费。</w:t>
            </w:r>
          </w:p>
        </w:tc>
      </w:tr>
      <w:tr w:rsidR="00A563D1">
        <w:trPr>
          <w:jc w:val="center"/>
        </w:trPr>
        <w:tc>
          <w:tcPr>
            <w:tcW w:w="1730" w:type="dxa"/>
          </w:tcPr>
          <w:p w:rsidR="00A563D1" w:rsidRDefault="00812934">
            <w:pPr>
              <w:spacing w:line="300" w:lineRule="exact"/>
              <w:rPr>
                <w:rFonts w:ascii="微软雅黑" w:eastAsia="微软雅黑" w:hAnsi="微软雅黑"/>
                <w:b/>
                <w:szCs w:val="21"/>
              </w:rPr>
            </w:pPr>
            <w:r>
              <w:rPr>
                <w:rFonts w:ascii="微软雅黑" w:eastAsia="微软雅黑" w:hAnsi="微软雅黑" w:hint="eastAsia"/>
                <w:szCs w:val="21"/>
              </w:rPr>
              <w:t xml:space="preserve">节假日  </w:t>
            </w:r>
          </w:p>
        </w:tc>
        <w:tc>
          <w:tcPr>
            <w:tcW w:w="7484"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中国法定公众假日。（最终以国务院公布的节假日为准）</w:t>
            </w:r>
          </w:p>
        </w:tc>
      </w:tr>
      <w:tr w:rsidR="00A563D1">
        <w:trPr>
          <w:jc w:val="center"/>
        </w:trPr>
        <w:tc>
          <w:tcPr>
            <w:tcW w:w="1730" w:type="dxa"/>
          </w:tcPr>
          <w:p w:rsidR="00A563D1" w:rsidRDefault="00812934">
            <w:pPr>
              <w:spacing w:line="300" w:lineRule="exact"/>
              <w:rPr>
                <w:rFonts w:ascii="微软雅黑" w:eastAsia="微软雅黑" w:hAnsi="微软雅黑"/>
                <w:b/>
                <w:szCs w:val="21"/>
              </w:rPr>
            </w:pPr>
            <w:r>
              <w:rPr>
                <w:rFonts w:ascii="微软雅黑" w:eastAsia="微软雅黑" w:hAnsi="微软雅黑" w:hint="eastAsia"/>
                <w:szCs w:val="21"/>
              </w:rPr>
              <w:t xml:space="preserve">工作日  </w:t>
            </w:r>
          </w:p>
        </w:tc>
        <w:tc>
          <w:tcPr>
            <w:tcW w:w="7484" w:type="dxa"/>
          </w:tcPr>
          <w:p w:rsidR="00A563D1" w:rsidRDefault="00812934">
            <w:pPr>
              <w:spacing w:line="300" w:lineRule="exact"/>
              <w:rPr>
                <w:rFonts w:ascii="微软雅黑" w:eastAsia="微软雅黑" w:hAnsi="微软雅黑"/>
                <w:b/>
                <w:szCs w:val="21"/>
              </w:rPr>
            </w:pPr>
            <w:r>
              <w:rPr>
                <w:rFonts w:ascii="微软雅黑" w:eastAsia="微软雅黑" w:hAnsi="微软雅黑" w:hint="eastAsia"/>
                <w:szCs w:val="21"/>
              </w:rPr>
              <w:t>国家法定工作日</w:t>
            </w:r>
          </w:p>
        </w:tc>
      </w:tr>
      <w:tr w:rsidR="00A563D1">
        <w:trPr>
          <w:jc w:val="center"/>
        </w:trPr>
        <w:tc>
          <w:tcPr>
            <w:tcW w:w="1730"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 xml:space="preserve">税款  </w:t>
            </w:r>
          </w:p>
        </w:tc>
        <w:tc>
          <w:tcPr>
            <w:tcW w:w="7484"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 xml:space="preserve">理财收益的应纳税款由投资者自行申报及缴纳。 </w:t>
            </w:r>
          </w:p>
        </w:tc>
      </w:tr>
    </w:tbl>
    <w:p w:rsidR="00A563D1" w:rsidRDefault="00A563D1">
      <w:pPr>
        <w:spacing w:line="300" w:lineRule="exact"/>
        <w:rPr>
          <w:rFonts w:ascii="微软雅黑" w:eastAsia="微软雅黑" w:hAnsi="微软雅黑"/>
          <w:b/>
          <w:szCs w:val="21"/>
        </w:rPr>
      </w:pPr>
    </w:p>
    <w:p w:rsidR="00A563D1" w:rsidRDefault="00812934">
      <w:pPr>
        <w:spacing w:line="300" w:lineRule="exact"/>
        <w:rPr>
          <w:rFonts w:ascii="微软雅黑" w:eastAsia="微软雅黑" w:hAnsi="微软雅黑"/>
          <w:b/>
          <w:szCs w:val="21"/>
        </w:rPr>
      </w:pPr>
      <w:r>
        <w:rPr>
          <w:rFonts w:ascii="微软雅黑" w:eastAsia="微软雅黑" w:hAnsi="微软雅黑" w:hint="eastAsia"/>
          <w:b/>
          <w:szCs w:val="21"/>
        </w:rPr>
        <w:t>二、投资对象</w:t>
      </w:r>
    </w:p>
    <w:p w:rsidR="00A563D1" w:rsidRDefault="00812934">
      <w:pPr>
        <w:spacing w:line="300" w:lineRule="exact"/>
        <w:ind w:firstLineChars="200" w:firstLine="420"/>
        <w:rPr>
          <w:rFonts w:ascii="微软雅黑" w:eastAsia="微软雅黑" w:hAnsi="微软雅黑"/>
          <w:szCs w:val="21"/>
        </w:rPr>
      </w:pPr>
      <w:r>
        <w:rPr>
          <w:rFonts w:ascii="微软雅黑" w:eastAsia="微软雅黑" w:hAnsi="微软雅黑" w:hint="eastAsia"/>
          <w:szCs w:val="21"/>
        </w:rPr>
        <w:t>本理财计划募集的资金由珠海华润银行根据投资者的委托进行投资，本理财计划所募集的资金的投向包括但不限于银行现金、同业存款、央行票据、银行间市场债券、债券回购、货币基金、债券基金、符合监管要求的信托计划、其他金融机构（证券公司、资产管理公司、基金公司等）的资产管理计划等。</w:t>
      </w:r>
    </w:p>
    <w:p w:rsidR="00A563D1" w:rsidRDefault="00812934">
      <w:pPr>
        <w:spacing w:line="300" w:lineRule="exact"/>
        <w:ind w:firstLineChars="200" w:firstLine="420"/>
        <w:rPr>
          <w:rFonts w:ascii="微软雅黑" w:eastAsia="微软雅黑" w:hAnsi="微软雅黑"/>
          <w:szCs w:val="21"/>
        </w:rPr>
      </w:pPr>
      <w:r>
        <w:rPr>
          <w:rFonts w:ascii="微软雅黑" w:eastAsia="微软雅黑" w:hAnsi="微软雅黑" w:hint="eastAsia"/>
          <w:szCs w:val="21"/>
        </w:rPr>
        <w:t>珠海华润银行对所投资金融工具设置相应的投资比例，通过管理投资比例，以获取预期收益。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A563D1">
        <w:trPr>
          <w:jc w:val="center"/>
        </w:trPr>
        <w:tc>
          <w:tcPr>
            <w:tcW w:w="4261" w:type="dxa"/>
            <w:tcBorders>
              <w:top w:val="single" w:sz="4" w:space="0" w:color="auto"/>
              <w:left w:val="single" w:sz="4" w:space="0" w:color="auto"/>
              <w:bottom w:val="single" w:sz="4" w:space="0" w:color="auto"/>
              <w:right w:val="single" w:sz="4" w:space="0" w:color="auto"/>
            </w:tcBorders>
          </w:tcPr>
          <w:p w:rsidR="00A563D1" w:rsidRDefault="00812934">
            <w:pPr>
              <w:spacing w:before="100" w:beforeAutospacing="1" w:line="300" w:lineRule="exact"/>
              <w:jc w:val="center"/>
              <w:rPr>
                <w:rFonts w:ascii="微软雅黑" w:eastAsia="微软雅黑" w:hAnsi="微软雅黑"/>
                <w:szCs w:val="21"/>
              </w:rPr>
            </w:pPr>
            <w:r>
              <w:rPr>
                <w:rFonts w:ascii="微软雅黑" w:eastAsia="微软雅黑" w:hAnsi="微软雅黑" w:hint="eastAsia"/>
                <w:szCs w:val="21"/>
              </w:rPr>
              <w:t>投资种类</w:t>
            </w:r>
          </w:p>
        </w:tc>
        <w:tc>
          <w:tcPr>
            <w:tcW w:w="4261" w:type="dxa"/>
            <w:tcBorders>
              <w:top w:val="single" w:sz="4" w:space="0" w:color="auto"/>
              <w:left w:val="single" w:sz="4" w:space="0" w:color="auto"/>
              <w:bottom w:val="single" w:sz="4" w:space="0" w:color="auto"/>
              <w:right w:val="single" w:sz="4" w:space="0" w:color="auto"/>
            </w:tcBorders>
          </w:tcPr>
          <w:p w:rsidR="00A563D1" w:rsidRDefault="00812934">
            <w:pPr>
              <w:spacing w:before="100" w:beforeAutospacing="1" w:line="300" w:lineRule="exact"/>
              <w:jc w:val="center"/>
              <w:rPr>
                <w:rFonts w:ascii="微软雅黑" w:eastAsia="微软雅黑" w:hAnsi="微软雅黑"/>
                <w:szCs w:val="21"/>
              </w:rPr>
            </w:pPr>
            <w:r>
              <w:rPr>
                <w:rFonts w:ascii="微软雅黑" w:eastAsia="微软雅黑" w:hAnsi="微软雅黑" w:hint="eastAsia"/>
                <w:szCs w:val="21"/>
              </w:rPr>
              <w:t>投资比例</w:t>
            </w:r>
          </w:p>
        </w:tc>
      </w:tr>
      <w:tr w:rsidR="00A563D1">
        <w:trPr>
          <w:trHeight w:val="289"/>
          <w:jc w:val="center"/>
        </w:trPr>
        <w:tc>
          <w:tcPr>
            <w:tcW w:w="4261" w:type="dxa"/>
            <w:tcBorders>
              <w:top w:val="single" w:sz="4" w:space="0" w:color="auto"/>
              <w:left w:val="single" w:sz="4" w:space="0" w:color="auto"/>
              <w:bottom w:val="single" w:sz="4" w:space="0" w:color="auto"/>
              <w:right w:val="single" w:sz="4" w:space="0" w:color="auto"/>
            </w:tcBorders>
          </w:tcPr>
          <w:p w:rsidR="00A563D1" w:rsidRDefault="00812934">
            <w:pPr>
              <w:spacing w:before="100" w:beforeAutospacing="1" w:line="300" w:lineRule="exact"/>
              <w:jc w:val="center"/>
              <w:rPr>
                <w:rFonts w:ascii="微软雅黑" w:eastAsia="微软雅黑" w:hAnsi="微软雅黑"/>
                <w:szCs w:val="21"/>
              </w:rPr>
            </w:pPr>
            <w:r>
              <w:rPr>
                <w:rFonts w:ascii="微软雅黑" w:eastAsia="微软雅黑" w:hAnsi="微软雅黑" w:hint="eastAsia"/>
                <w:szCs w:val="21"/>
              </w:rPr>
              <w:t>现金</w:t>
            </w:r>
          </w:p>
        </w:tc>
        <w:tc>
          <w:tcPr>
            <w:tcW w:w="4261" w:type="dxa"/>
            <w:tcBorders>
              <w:top w:val="single" w:sz="4" w:space="0" w:color="auto"/>
              <w:left w:val="single" w:sz="4" w:space="0" w:color="auto"/>
              <w:bottom w:val="single" w:sz="4" w:space="0" w:color="auto"/>
              <w:right w:val="single" w:sz="4" w:space="0" w:color="auto"/>
            </w:tcBorders>
          </w:tcPr>
          <w:p w:rsidR="00A563D1" w:rsidRDefault="00812934">
            <w:pPr>
              <w:spacing w:before="100" w:beforeAutospacing="1" w:line="300" w:lineRule="exact"/>
              <w:jc w:val="center"/>
              <w:rPr>
                <w:rFonts w:ascii="微软雅黑" w:eastAsia="微软雅黑" w:hAnsi="微软雅黑"/>
                <w:szCs w:val="21"/>
              </w:rPr>
            </w:pPr>
            <w:r>
              <w:rPr>
                <w:rFonts w:ascii="微软雅黑" w:eastAsia="微软雅黑" w:hAnsi="微软雅黑" w:hint="eastAsia"/>
                <w:szCs w:val="21"/>
              </w:rPr>
              <w:t>0-20%</w:t>
            </w:r>
          </w:p>
        </w:tc>
      </w:tr>
      <w:tr w:rsidR="00A563D1">
        <w:trPr>
          <w:trHeight w:val="241"/>
          <w:jc w:val="center"/>
        </w:trPr>
        <w:tc>
          <w:tcPr>
            <w:tcW w:w="4261" w:type="dxa"/>
            <w:tcBorders>
              <w:top w:val="single" w:sz="4" w:space="0" w:color="auto"/>
              <w:left w:val="single" w:sz="4" w:space="0" w:color="auto"/>
              <w:bottom w:val="single" w:sz="4" w:space="0" w:color="auto"/>
              <w:right w:val="single" w:sz="4" w:space="0" w:color="auto"/>
            </w:tcBorders>
          </w:tcPr>
          <w:p w:rsidR="00A563D1" w:rsidRDefault="00812934">
            <w:pPr>
              <w:spacing w:before="100" w:beforeAutospacing="1" w:line="300" w:lineRule="exact"/>
              <w:jc w:val="center"/>
              <w:rPr>
                <w:rFonts w:ascii="微软雅黑" w:eastAsia="微软雅黑" w:hAnsi="微软雅黑"/>
                <w:szCs w:val="21"/>
              </w:rPr>
            </w:pPr>
            <w:r>
              <w:rPr>
                <w:rFonts w:ascii="微软雅黑" w:eastAsia="微软雅黑" w:hAnsi="微软雅黑" w:hint="eastAsia"/>
                <w:szCs w:val="21"/>
              </w:rPr>
              <w:t>货币市场工具</w:t>
            </w:r>
          </w:p>
        </w:tc>
        <w:tc>
          <w:tcPr>
            <w:tcW w:w="4261" w:type="dxa"/>
            <w:tcBorders>
              <w:top w:val="single" w:sz="4" w:space="0" w:color="auto"/>
              <w:left w:val="single" w:sz="4" w:space="0" w:color="auto"/>
              <w:bottom w:val="single" w:sz="4" w:space="0" w:color="auto"/>
              <w:right w:val="single" w:sz="4" w:space="0" w:color="auto"/>
            </w:tcBorders>
          </w:tcPr>
          <w:p w:rsidR="00A563D1" w:rsidRDefault="00812934">
            <w:pPr>
              <w:spacing w:before="100" w:beforeAutospacing="1" w:line="300" w:lineRule="exact"/>
              <w:jc w:val="center"/>
              <w:rPr>
                <w:rFonts w:ascii="微软雅黑" w:eastAsia="微软雅黑" w:hAnsi="微软雅黑"/>
                <w:szCs w:val="21"/>
              </w:rPr>
            </w:pPr>
            <w:r>
              <w:rPr>
                <w:rFonts w:ascii="微软雅黑" w:eastAsia="微软雅黑" w:hAnsi="微软雅黑" w:hint="eastAsia"/>
                <w:szCs w:val="21"/>
              </w:rPr>
              <w:t>10%-90%</w:t>
            </w:r>
          </w:p>
        </w:tc>
      </w:tr>
      <w:tr w:rsidR="00A563D1">
        <w:trPr>
          <w:trHeight w:val="241"/>
          <w:jc w:val="center"/>
        </w:trPr>
        <w:tc>
          <w:tcPr>
            <w:tcW w:w="4261" w:type="dxa"/>
            <w:tcBorders>
              <w:top w:val="single" w:sz="4" w:space="0" w:color="auto"/>
              <w:left w:val="single" w:sz="4" w:space="0" w:color="auto"/>
              <w:bottom w:val="single" w:sz="4" w:space="0" w:color="auto"/>
              <w:right w:val="single" w:sz="4" w:space="0" w:color="auto"/>
            </w:tcBorders>
          </w:tcPr>
          <w:p w:rsidR="00A563D1" w:rsidRDefault="00812934">
            <w:pPr>
              <w:spacing w:before="100" w:beforeAutospacing="1" w:line="300" w:lineRule="exact"/>
              <w:jc w:val="center"/>
              <w:rPr>
                <w:rFonts w:ascii="微软雅黑" w:eastAsia="微软雅黑" w:hAnsi="微软雅黑"/>
                <w:szCs w:val="21"/>
              </w:rPr>
            </w:pPr>
            <w:r>
              <w:rPr>
                <w:rFonts w:ascii="微软雅黑" w:eastAsia="微软雅黑" w:hAnsi="微软雅黑" w:hint="eastAsia"/>
                <w:szCs w:val="21"/>
              </w:rPr>
              <w:t>信托计划、资产管理计划</w:t>
            </w:r>
          </w:p>
        </w:tc>
        <w:tc>
          <w:tcPr>
            <w:tcW w:w="4261" w:type="dxa"/>
            <w:tcBorders>
              <w:top w:val="single" w:sz="4" w:space="0" w:color="auto"/>
              <w:left w:val="single" w:sz="4" w:space="0" w:color="auto"/>
              <w:bottom w:val="single" w:sz="4" w:space="0" w:color="auto"/>
              <w:right w:val="single" w:sz="4" w:space="0" w:color="auto"/>
            </w:tcBorders>
          </w:tcPr>
          <w:p w:rsidR="00A563D1" w:rsidRDefault="00812934">
            <w:pPr>
              <w:spacing w:before="100" w:beforeAutospacing="1" w:line="300" w:lineRule="exact"/>
              <w:jc w:val="center"/>
              <w:rPr>
                <w:rFonts w:ascii="微软雅黑" w:eastAsia="微软雅黑" w:hAnsi="微软雅黑"/>
                <w:szCs w:val="21"/>
              </w:rPr>
            </w:pPr>
            <w:r>
              <w:rPr>
                <w:rFonts w:ascii="微软雅黑" w:eastAsia="微软雅黑" w:hAnsi="微软雅黑" w:hint="eastAsia"/>
                <w:szCs w:val="21"/>
              </w:rPr>
              <w:t>10%-90%</w:t>
            </w:r>
          </w:p>
        </w:tc>
      </w:tr>
    </w:tbl>
    <w:p w:rsidR="00A563D1" w:rsidRDefault="00812934">
      <w:pPr>
        <w:spacing w:line="300" w:lineRule="exact"/>
        <w:ind w:firstLineChars="200" w:firstLine="420"/>
        <w:rPr>
          <w:rFonts w:ascii="微软雅黑" w:eastAsia="微软雅黑" w:hAnsi="微软雅黑"/>
          <w:szCs w:val="21"/>
        </w:rPr>
      </w:pPr>
      <w:r>
        <w:rPr>
          <w:rFonts w:ascii="微软雅黑" w:eastAsia="微软雅黑" w:hAnsi="微软雅黑" w:hint="eastAsia"/>
          <w:szCs w:val="21"/>
        </w:rPr>
        <w:t>在理财计划存续期内可能因市场的重大变化导致投资比例不在上述区间，以上投资比例在【-10%，10%】区间内浮动，珠海华润银行将</w:t>
      </w:r>
      <w:proofErr w:type="gramStart"/>
      <w:r>
        <w:rPr>
          <w:rFonts w:ascii="微软雅黑" w:eastAsia="微软雅黑" w:hAnsi="微软雅黑" w:hint="eastAsia"/>
          <w:szCs w:val="21"/>
        </w:rPr>
        <w:t>尽合理</w:t>
      </w:r>
      <w:proofErr w:type="gramEnd"/>
      <w:r>
        <w:rPr>
          <w:rFonts w:ascii="微软雅黑" w:eastAsia="微软雅黑" w:hAnsi="微软雅黑" w:hint="eastAsia"/>
          <w:szCs w:val="21"/>
        </w:rPr>
        <w:t>努力，以投资者利益最大化为原则尽快使投资比例恢复至上述区间。</w:t>
      </w:r>
    </w:p>
    <w:p w:rsidR="00A563D1" w:rsidRDefault="00812934">
      <w:pPr>
        <w:spacing w:line="300" w:lineRule="exact"/>
        <w:ind w:firstLineChars="200" w:firstLine="420"/>
        <w:rPr>
          <w:rFonts w:ascii="微软雅黑" w:eastAsia="微软雅黑" w:hAnsi="微软雅黑"/>
          <w:szCs w:val="21"/>
        </w:rPr>
      </w:pPr>
      <w:r>
        <w:rPr>
          <w:rFonts w:ascii="微软雅黑" w:eastAsia="微软雅黑" w:hAnsi="微软雅黑" w:hint="eastAsia"/>
          <w:szCs w:val="21"/>
        </w:rPr>
        <w:t>珠海华润银行有权根据市场情况，在不损害投资者利益且根据约定提前公告的情况下，对本理财计划的投资范围、投资品种和投资比例进行调整。投资者对此无异议且同意在上述情况下继续持有本理财计划。</w:t>
      </w:r>
    </w:p>
    <w:p w:rsidR="00A563D1" w:rsidRDefault="00812934">
      <w:pPr>
        <w:spacing w:line="300" w:lineRule="exact"/>
        <w:rPr>
          <w:rFonts w:ascii="微软雅黑" w:eastAsia="微软雅黑" w:hAnsi="微软雅黑"/>
          <w:b/>
          <w:szCs w:val="21"/>
        </w:rPr>
      </w:pPr>
      <w:r>
        <w:rPr>
          <w:rFonts w:ascii="微软雅黑" w:eastAsia="微软雅黑" w:hAnsi="微软雅黑" w:hint="eastAsia"/>
          <w:b/>
          <w:szCs w:val="21"/>
        </w:rPr>
        <w:t>三、理财本金及收益测算</w:t>
      </w:r>
    </w:p>
    <w:p w:rsidR="00A563D1" w:rsidRDefault="00812934">
      <w:pPr>
        <w:spacing w:line="300" w:lineRule="exact"/>
        <w:ind w:firstLineChars="200" w:firstLine="420"/>
        <w:rPr>
          <w:rFonts w:ascii="微软雅黑" w:eastAsia="微软雅黑" w:hAnsi="微软雅黑"/>
          <w:szCs w:val="21"/>
        </w:rPr>
      </w:pPr>
      <w:r>
        <w:rPr>
          <w:rFonts w:ascii="微软雅黑" w:eastAsia="微软雅黑" w:hAnsi="微软雅黑" w:hint="eastAsia"/>
          <w:szCs w:val="21"/>
        </w:rPr>
        <w:t>1、客户</w:t>
      </w:r>
      <w:proofErr w:type="gramStart"/>
      <w:r>
        <w:rPr>
          <w:rFonts w:ascii="微软雅黑" w:eastAsia="微软雅黑" w:hAnsi="微软雅黑" w:hint="eastAsia"/>
          <w:szCs w:val="21"/>
        </w:rPr>
        <w:t>预期年化收益率</w:t>
      </w:r>
      <w:proofErr w:type="gramEnd"/>
      <w:r>
        <w:rPr>
          <w:rFonts w:ascii="微软雅黑" w:eastAsia="微软雅黑" w:hAnsi="微软雅黑" w:hint="eastAsia"/>
          <w:szCs w:val="21"/>
        </w:rPr>
        <w:t>及测算依据</w:t>
      </w:r>
    </w:p>
    <w:p w:rsidR="00A563D1" w:rsidRDefault="00812934">
      <w:pPr>
        <w:spacing w:line="300" w:lineRule="exact"/>
        <w:ind w:firstLineChars="200" w:firstLine="420"/>
        <w:rPr>
          <w:rFonts w:ascii="微软雅黑" w:eastAsia="微软雅黑" w:hAnsi="微软雅黑"/>
          <w:szCs w:val="21"/>
        </w:rPr>
      </w:pPr>
      <w:r>
        <w:rPr>
          <w:rFonts w:ascii="微软雅黑" w:eastAsia="微软雅黑" w:hAnsi="微软雅黑" w:hint="eastAsia"/>
          <w:szCs w:val="21"/>
        </w:rPr>
        <w:t>客户的</w:t>
      </w:r>
      <w:proofErr w:type="gramStart"/>
      <w:r>
        <w:rPr>
          <w:rFonts w:ascii="微软雅黑" w:eastAsia="微软雅黑" w:hAnsi="微软雅黑" w:hint="eastAsia"/>
          <w:szCs w:val="21"/>
        </w:rPr>
        <w:t>预期年化收益率</w:t>
      </w:r>
      <w:proofErr w:type="gramEnd"/>
      <w:r>
        <w:rPr>
          <w:rFonts w:ascii="微软雅黑" w:eastAsia="微软雅黑" w:hAnsi="微软雅黑" w:hint="eastAsia"/>
          <w:szCs w:val="21"/>
        </w:rPr>
        <w:t>=投资资产</w:t>
      </w:r>
      <w:proofErr w:type="gramStart"/>
      <w:r>
        <w:rPr>
          <w:rFonts w:ascii="微软雅黑" w:eastAsia="微软雅黑" w:hAnsi="微软雅黑" w:hint="eastAsia"/>
          <w:szCs w:val="21"/>
        </w:rPr>
        <w:t>预期年化收益率</w:t>
      </w:r>
      <w:proofErr w:type="gramEnd"/>
      <w:r>
        <w:rPr>
          <w:rFonts w:ascii="微软雅黑" w:eastAsia="微软雅黑" w:hAnsi="微软雅黑" w:hint="eastAsia"/>
          <w:szCs w:val="21"/>
        </w:rPr>
        <w:t xml:space="preserve"> — 理财资产托管费率（年） — 投资管理费率（年）。</w:t>
      </w:r>
    </w:p>
    <w:p w:rsidR="00A563D1" w:rsidRDefault="00812934">
      <w:pPr>
        <w:spacing w:line="300" w:lineRule="exact"/>
        <w:ind w:firstLineChars="200" w:firstLine="420"/>
        <w:rPr>
          <w:rFonts w:ascii="微软雅黑" w:eastAsia="微软雅黑" w:hAnsi="微软雅黑"/>
          <w:b/>
          <w:szCs w:val="21"/>
        </w:rPr>
      </w:pPr>
      <w:r>
        <w:rPr>
          <w:rFonts w:ascii="微软雅黑" w:eastAsia="微软雅黑" w:hAnsi="微软雅黑" w:hint="eastAsia"/>
          <w:b/>
          <w:szCs w:val="21"/>
        </w:rPr>
        <w:t>客户</w:t>
      </w:r>
      <w:proofErr w:type="gramStart"/>
      <w:r>
        <w:rPr>
          <w:rFonts w:ascii="微软雅黑" w:eastAsia="微软雅黑" w:hAnsi="微软雅黑" w:hint="eastAsia"/>
          <w:b/>
          <w:szCs w:val="21"/>
        </w:rPr>
        <w:t>预期年化收益率</w:t>
      </w:r>
      <w:proofErr w:type="gramEnd"/>
      <w:r>
        <w:rPr>
          <w:rFonts w:ascii="微软雅黑" w:eastAsia="微软雅黑" w:hAnsi="微软雅黑" w:hint="eastAsia"/>
          <w:b/>
          <w:szCs w:val="21"/>
        </w:rPr>
        <w:t>参见产品发行公告。</w:t>
      </w:r>
    </w:p>
    <w:p w:rsidR="00A563D1" w:rsidRDefault="00812934">
      <w:pPr>
        <w:spacing w:line="300" w:lineRule="exact"/>
        <w:ind w:firstLineChars="200" w:firstLine="420"/>
        <w:rPr>
          <w:rFonts w:ascii="微软雅黑" w:eastAsia="微软雅黑" w:hAnsi="微软雅黑"/>
          <w:szCs w:val="21"/>
        </w:rPr>
      </w:pPr>
      <w:r>
        <w:rPr>
          <w:rFonts w:ascii="微软雅黑" w:eastAsia="微软雅黑" w:hAnsi="微软雅黑" w:hint="eastAsia"/>
          <w:szCs w:val="21"/>
        </w:rPr>
        <w:t>2、预期收益计算公式</w:t>
      </w:r>
    </w:p>
    <w:p w:rsidR="00A563D1" w:rsidRDefault="00812934">
      <w:pPr>
        <w:spacing w:line="300" w:lineRule="exact"/>
        <w:ind w:firstLineChars="200" w:firstLine="420"/>
        <w:rPr>
          <w:rFonts w:ascii="微软雅黑" w:eastAsia="微软雅黑" w:hAnsi="微软雅黑"/>
          <w:szCs w:val="21"/>
        </w:rPr>
      </w:pPr>
      <w:r>
        <w:rPr>
          <w:rFonts w:ascii="微软雅黑" w:eastAsia="微软雅黑" w:hAnsi="微软雅黑" w:hint="eastAsia"/>
          <w:szCs w:val="21"/>
        </w:rPr>
        <w:t>预期期末收益=投资本金×</w:t>
      </w:r>
      <w:proofErr w:type="gramStart"/>
      <w:r>
        <w:rPr>
          <w:rFonts w:ascii="微软雅黑" w:eastAsia="微软雅黑" w:hAnsi="微软雅黑" w:hint="eastAsia"/>
          <w:szCs w:val="21"/>
        </w:rPr>
        <w:t>预期年化收益率</w:t>
      </w:r>
      <w:proofErr w:type="gramEnd"/>
      <w:r>
        <w:rPr>
          <w:rFonts w:ascii="微软雅黑" w:eastAsia="微软雅黑" w:hAnsi="微软雅黑" w:hint="eastAsia"/>
          <w:szCs w:val="21"/>
        </w:rPr>
        <w:t>×期限</w:t>
      </w:r>
      <w:r>
        <w:rPr>
          <w:rFonts w:ascii="微软雅黑" w:eastAsia="微软雅黑" w:hAnsi="微软雅黑"/>
          <w:szCs w:val="21"/>
        </w:rPr>
        <w:t>/365</w:t>
      </w:r>
    </w:p>
    <w:p w:rsidR="00A563D1" w:rsidRDefault="00812934">
      <w:pPr>
        <w:spacing w:line="300" w:lineRule="exact"/>
        <w:ind w:firstLineChars="200" w:firstLine="420"/>
        <w:rPr>
          <w:rFonts w:ascii="微软雅黑" w:eastAsia="微软雅黑" w:hAnsi="微软雅黑"/>
          <w:szCs w:val="21"/>
        </w:rPr>
      </w:pPr>
      <w:r>
        <w:rPr>
          <w:rFonts w:ascii="微软雅黑" w:eastAsia="微软雅黑" w:hAnsi="微软雅黑" w:hint="eastAsia"/>
          <w:szCs w:val="21"/>
        </w:rPr>
        <w:lastRenderedPageBreak/>
        <w:t>3、产品实际收益计算</w:t>
      </w:r>
    </w:p>
    <w:p w:rsidR="00A563D1" w:rsidRDefault="00812934">
      <w:pPr>
        <w:spacing w:line="300" w:lineRule="exact"/>
        <w:ind w:firstLineChars="200" w:firstLine="420"/>
        <w:rPr>
          <w:rFonts w:ascii="微软雅黑" w:eastAsia="微软雅黑" w:hAnsi="微软雅黑"/>
          <w:szCs w:val="21"/>
        </w:rPr>
      </w:pPr>
      <w:r>
        <w:rPr>
          <w:rFonts w:ascii="微软雅黑" w:eastAsia="微软雅黑" w:hAnsi="微软雅黑" w:hint="eastAsia"/>
          <w:szCs w:val="21"/>
        </w:rPr>
        <w:t>投资者持有本理财计划到期或珠海华润银行提前终止本理财计划时，实际理财收益将按照珠海华润银行公布的到期（提前终止）</w:t>
      </w:r>
      <w:proofErr w:type="gramStart"/>
      <w:r>
        <w:rPr>
          <w:rFonts w:ascii="微软雅黑" w:eastAsia="微软雅黑" w:hAnsi="微软雅黑" w:hint="eastAsia"/>
          <w:szCs w:val="21"/>
        </w:rPr>
        <w:t>年化收益率</w:t>
      </w:r>
      <w:proofErr w:type="gramEnd"/>
      <w:r>
        <w:rPr>
          <w:rFonts w:ascii="微软雅黑" w:eastAsia="微软雅黑" w:hAnsi="微软雅黑" w:hint="eastAsia"/>
          <w:szCs w:val="21"/>
        </w:rPr>
        <w:t>计算。</w:t>
      </w:r>
    </w:p>
    <w:p w:rsidR="00A563D1" w:rsidRDefault="00812934">
      <w:pPr>
        <w:spacing w:line="300" w:lineRule="exact"/>
        <w:ind w:firstLineChars="200" w:firstLine="420"/>
        <w:rPr>
          <w:rFonts w:ascii="微软雅黑" w:eastAsia="微软雅黑" w:hAnsi="微软雅黑"/>
          <w:szCs w:val="21"/>
        </w:rPr>
      </w:pPr>
      <w:r>
        <w:rPr>
          <w:rFonts w:ascii="微软雅黑" w:eastAsia="微软雅黑" w:hAnsi="微软雅黑" w:hint="eastAsia"/>
          <w:szCs w:val="21"/>
        </w:rPr>
        <w:t>正常到期时：</w:t>
      </w:r>
    </w:p>
    <w:p w:rsidR="00A563D1" w:rsidRDefault="00812934">
      <w:pPr>
        <w:spacing w:line="300" w:lineRule="exact"/>
        <w:ind w:firstLineChars="200" w:firstLine="420"/>
        <w:rPr>
          <w:rFonts w:ascii="微软雅黑" w:eastAsia="微软雅黑" w:hAnsi="微软雅黑"/>
          <w:szCs w:val="21"/>
        </w:rPr>
      </w:pPr>
      <w:r>
        <w:rPr>
          <w:rFonts w:ascii="微软雅黑" w:eastAsia="微软雅黑" w:hAnsi="微软雅黑" w:hint="eastAsia"/>
          <w:szCs w:val="21"/>
        </w:rPr>
        <w:t>投资者获得的理财收益＝投资本金×产品到</w:t>
      </w:r>
      <w:proofErr w:type="gramStart"/>
      <w:r>
        <w:rPr>
          <w:rFonts w:ascii="微软雅黑" w:eastAsia="微软雅黑" w:hAnsi="微软雅黑" w:hint="eastAsia"/>
          <w:szCs w:val="21"/>
        </w:rPr>
        <w:t>期年化</w:t>
      </w:r>
      <w:proofErr w:type="gramEnd"/>
      <w:r>
        <w:rPr>
          <w:rFonts w:ascii="微软雅黑" w:eastAsia="微软雅黑" w:hAnsi="微软雅黑" w:hint="eastAsia"/>
          <w:szCs w:val="21"/>
        </w:rPr>
        <w:t>收益率×实际存续天数</w:t>
      </w:r>
      <w:r>
        <w:rPr>
          <w:rFonts w:ascii="微软雅黑" w:eastAsia="微软雅黑" w:hAnsi="微软雅黑"/>
          <w:szCs w:val="21"/>
        </w:rPr>
        <w:t>/365</w:t>
      </w:r>
      <w:r>
        <w:rPr>
          <w:rFonts w:ascii="微软雅黑" w:eastAsia="微软雅黑" w:hAnsi="微软雅黑" w:hint="eastAsia"/>
          <w:szCs w:val="21"/>
        </w:rPr>
        <w:t>；</w:t>
      </w:r>
    </w:p>
    <w:p w:rsidR="00A563D1" w:rsidRDefault="00812934">
      <w:pPr>
        <w:spacing w:line="300" w:lineRule="exact"/>
        <w:ind w:firstLineChars="200" w:firstLine="420"/>
        <w:rPr>
          <w:rFonts w:ascii="微软雅黑" w:eastAsia="微软雅黑" w:hAnsi="微软雅黑"/>
          <w:szCs w:val="21"/>
        </w:rPr>
      </w:pPr>
      <w:r>
        <w:rPr>
          <w:rFonts w:ascii="微软雅黑" w:eastAsia="微软雅黑" w:hAnsi="微软雅黑" w:hint="eastAsia"/>
          <w:szCs w:val="21"/>
        </w:rPr>
        <w:t>提前终止时：</w:t>
      </w:r>
    </w:p>
    <w:p w:rsidR="00A563D1" w:rsidRDefault="00812934">
      <w:pPr>
        <w:spacing w:line="300" w:lineRule="exact"/>
        <w:ind w:firstLineChars="200" w:firstLine="420"/>
        <w:rPr>
          <w:rFonts w:ascii="微软雅黑" w:eastAsia="微软雅黑" w:hAnsi="微软雅黑"/>
          <w:szCs w:val="21"/>
        </w:rPr>
      </w:pPr>
      <w:r>
        <w:rPr>
          <w:rFonts w:ascii="微软雅黑" w:eastAsia="微软雅黑" w:hAnsi="微软雅黑" w:hint="eastAsia"/>
          <w:szCs w:val="21"/>
        </w:rPr>
        <w:t>投资者获得的理财收益＝投资本金×提前</w:t>
      </w:r>
      <w:proofErr w:type="gramStart"/>
      <w:r>
        <w:rPr>
          <w:rFonts w:ascii="微软雅黑" w:eastAsia="微软雅黑" w:hAnsi="微软雅黑" w:hint="eastAsia"/>
          <w:szCs w:val="21"/>
        </w:rPr>
        <w:t>终止年化收益率</w:t>
      </w:r>
      <w:proofErr w:type="gramEnd"/>
      <w:r>
        <w:rPr>
          <w:rFonts w:ascii="微软雅黑" w:eastAsia="微软雅黑" w:hAnsi="微软雅黑" w:hint="eastAsia"/>
          <w:szCs w:val="21"/>
        </w:rPr>
        <w:t>×实际存续天数</w:t>
      </w:r>
      <w:r>
        <w:rPr>
          <w:rFonts w:ascii="微软雅黑" w:eastAsia="微软雅黑" w:hAnsi="微软雅黑"/>
          <w:szCs w:val="21"/>
        </w:rPr>
        <w:t>/365</w:t>
      </w:r>
    </w:p>
    <w:p w:rsidR="00A563D1" w:rsidRDefault="00812934">
      <w:pPr>
        <w:spacing w:line="300" w:lineRule="exact"/>
        <w:ind w:firstLineChars="200" w:firstLine="420"/>
        <w:rPr>
          <w:rFonts w:ascii="微软雅黑" w:eastAsia="微软雅黑" w:hAnsi="微软雅黑"/>
          <w:szCs w:val="21"/>
        </w:rPr>
      </w:pPr>
      <w:r>
        <w:rPr>
          <w:rFonts w:ascii="微软雅黑" w:eastAsia="微软雅黑" w:hAnsi="微软雅黑" w:hint="eastAsia"/>
          <w:szCs w:val="21"/>
        </w:rPr>
        <w:t>（投资者获得的理财收益金额按四舍五入法则精确到0.01元）</w:t>
      </w:r>
    </w:p>
    <w:p w:rsidR="00A563D1" w:rsidRDefault="00812934">
      <w:pPr>
        <w:spacing w:line="300" w:lineRule="exact"/>
        <w:ind w:firstLineChars="200" w:firstLine="420"/>
        <w:rPr>
          <w:rFonts w:ascii="微软雅黑" w:eastAsia="微软雅黑" w:hAnsi="微软雅黑"/>
          <w:szCs w:val="21"/>
        </w:rPr>
      </w:pPr>
      <w:r>
        <w:rPr>
          <w:rFonts w:ascii="微软雅黑" w:eastAsia="微软雅黑" w:hAnsi="微软雅黑" w:hint="eastAsia"/>
          <w:szCs w:val="21"/>
        </w:rPr>
        <w:t>4、情景分析</w:t>
      </w:r>
    </w:p>
    <w:p w:rsidR="00A563D1" w:rsidRDefault="00812934">
      <w:pPr>
        <w:spacing w:line="300" w:lineRule="exact"/>
        <w:ind w:firstLineChars="200" w:firstLine="420"/>
        <w:rPr>
          <w:rFonts w:ascii="微软雅黑" w:eastAsia="微软雅黑" w:hAnsi="微软雅黑"/>
          <w:szCs w:val="21"/>
        </w:rPr>
      </w:pPr>
      <w:r>
        <w:rPr>
          <w:rFonts w:ascii="微软雅黑" w:eastAsia="微软雅黑" w:hAnsi="微软雅黑" w:hint="eastAsia"/>
          <w:szCs w:val="21"/>
        </w:rPr>
        <w:t>情景1：以某客户投资5万元为例，如果产品正常运作到期后，扣除托管费、投资管理费后，客户到</w:t>
      </w:r>
      <w:proofErr w:type="gramStart"/>
      <w:r>
        <w:rPr>
          <w:rFonts w:ascii="微软雅黑" w:eastAsia="微软雅黑" w:hAnsi="微软雅黑" w:hint="eastAsia"/>
          <w:szCs w:val="21"/>
        </w:rPr>
        <w:t>期年化</w:t>
      </w:r>
      <w:proofErr w:type="gramEnd"/>
      <w:r>
        <w:rPr>
          <w:rFonts w:ascii="微软雅黑" w:eastAsia="微软雅黑" w:hAnsi="微软雅黑" w:hint="eastAsia"/>
          <w:szCs w:val="21"/>
        </w:rPr>
        <w:t>收益率为3.9</w:t>
      </w:r>
      <w:r w:rsidR="00054AC7">
        <w:rPr>
          <w:rFonts w:ascii="微软雅黑" w:eastAsia="微软雅黑" w:hAnsi="微软雅黑" w:hint="eastAsia"/>
          <w:szCs w:val="21"/>
        </w:rPr>
        <w:t>5</w:t>
      </w:r>
      <w:r>
        <w:rPr>
          <w:rFonts w:ascii="微软雅黑" w:eastAsia="微软雅黑" w:hAnsi="微软雅黑" w:hint="eastAsia"/>
          <w:szCs w:val="21"/>
        </w:rPr>
        <w:t>%（以产品到期公告为准），达到</w:t>
      </w:r>
      <w:proofErr w:type="gramStart"/>
      <w:r>
        <w:rPr>
          <w:rFonts w:ascii="微软雅黑" w:eastAsia="微软雅黑" w:hAnsi="微软雅黑" w:hint="eastAsia"/>
          <w:szCs w:val="21"/>
        </w:rPr>
        <w:t>预期年化收益率</w:t>
      </w:r>
      <w:proofErr w:type="gramEnd"/>
      <w:r>
        <w:rPr>
          <w:rFonts w:ascii="微软雅黑" w:eastAsia="微软雅黑" w:hAnsi="微软雅黑" w:hint="eastAsia"/>
          <w:szCs w:val="21"/>
        </w:rPr>
        <w:t>，实际理财天数为</w:t>
      </w:r>
      <w:r w:rsidR="00F27CE0">
        <w:rPr>
          <w:rFonts w:ascii="微软雅黑" w:eastAsia="微软雅黑" w:hAnsi="微软雅黑" w:hint="eastAsia"/>
          <w:szCs w:val="21"/>
        </w:rPr>
        <w:t>154</w:t>
      </w:r>
      <w:r>
        <w:rPr>
          <w:rFonts w:ascii="微软雅黑" w:eastAsia="微软雅黑" w:hAnsi="微软雅黑" w:hint="eastAsia"/>
          <w:szCs w:val="21"/>
        </w:rPr>
        <w:t>天。</w:t>
      </w:r>
    </w:p>
    <w:p w:rsidR="00A563D1" w:rsidRDefault="00812934">
      <w:pPr>
        <w:spacing w:line="300" w:lineRule="exact"/>
        <w:ind w:firstLineChars="200" w:firstLine="420"/>
        <w:rPr>
          <w:rFonts w:ascii="微软雅黑" w:eastAsia="微软雅黑" w:hAnsi="微软雅黑"/>
          <w:szCs w:val="21"/>
        </w:rPr>
      </w:pPr>
      <w:r>
        <w:rPr>
          <w:rFonts w:ascii="微软雅黑" w:eastAsia="微软雅黑" w:hAnsi="微软雅黑" w:hint="eastAsia"/>
          <w:szCs w:val="21"/>
        </w:rPr>
        <w:t>投资者获得的理财收益金额＝50000×3.9</w:t>
      </w:r>
      <w:r w:rsidR="00054AC7">
        <w:rPr>
          <w:rFonts w:ascii="微软雅黑" w:eastAsia="微软雅黑" w:hAnsi="微软雅黑" w:hint="eastAsia"/>
          <w:szCs w:val="21"/>
        </w:rPr>
        <w:t>5</w:t>
      </w:r>
      <w:r>
        <w:rPr>
          <w:rFonts w:ascii="微软雅黑" w:eastAsia="微软雅黑" w:hAnsi="微软雅黑" w:hint="eastAsia"/>
          <w:szCs w:val="21"/>
        </w:rPr>
        <w:t>%×</w:t>
      </w:r>
      <w:r w:rsidR="00054AC7">
        <w:rPr>
          <w:rFonts w:ascii="微软雅黑" w:eastAsia="微软雅黑" w:hAnsi="微软雅黑" w:hint="eastAsia"/>
          <w:szCs w:val="21"/>
        </w:rPr>
        <w:t>154</w:t>
      </w:r>
      <w:r>
        <w:rPr>
          <w:rFonts w:ascii="微软雅黑" w:eastAsia="微软雅黑" w:hAnsi="微软雅黑" w:hint="eastAsia"/>
          <w:szCs w:val="21"/>
        </w:rPr>
        <w:t>÷365＝</w:t>
      </w:r>
      <w:r w:rsidR="00054AC7">
        <w:rPr>
          <w:rFonts w:ascii="微软雅黑" w:eastAsia="微软雅黑" w:hAnsi="微软雅黑" w:hint="eastAsia"/>
          <w:szCs w:val="21"/>
        </w:rPr>
        <w:t>833.29</w:t>
      </w:r>
      <w:r>
        <w:rPr>
          <w:rFonts w:ascii="微软雅黑" w:eastAsia="微软雅黑" w:hAnsi="微软雅黑" w:hint="eastAsia"/>
          <w:szCs w:val="21"/>
        </w:rPr>
        <w:t xml:space="preserve">元。  </w:t>
      </w:r>
    </w:p>
    <w:p w:rsidR="00A563D1" w:rsidRDefault="00812934">
      <w:pPr>
        <w:spacing w:line="300" w:lineRule="exact"/>
        <w:ind w:firstLineChars="200" w:firstLine="420"/>
        <w:rPr>
          <w:rFonts w:ascii="微软雅黑" w:eastAsia="微软雅黑" w:hAnsi="微软雅黑"/>
          <w:szCs w:val="21"/>
        </w:rPr>
      </w:pPr>
      <w:r>
        <w:rPr>
          <w:rFonts w:ascii="微软雅黑" w:eastAsia="微软雅黑" w:hAnsi="微软雅黑" w:hint="eastAsia"/>
          <w:szCs w:val="21"/>
        </w:rPr>
        <w:t>情景2 ：以某客户投资5万元为例，如果产品正常运作到期后，扣除托管费、投资管理费后，客户到</w:t>
      </w:r>
      <w:proofErr w:type="gramStart"/>
      <w:r>
        <w:rPr>
          <w:rFonts w:ascii="微软雅黑" w:eastAsia="微软雅黑" w:hAnsi="微软雅黑" w:hint="eastAsia"/>
          <w:szCs w:val="21"/>
        </w:rPr>
        <w:t>期年化</w:t>
      </w:r>
      <w:proofErr w:type="gramEnd"/>
      <w:r>
        <w:rPr>
          <w:rFonts w:ascii="微软雅黑" w:eastAsia="微软雅黑" w:hAnsi="微软雅黑" w:hint="eastAsia"/>
          <w:szCs w:val="21"/>
        </w:rPr>
        <w:t>收益率为3.</w:t>
      </w:r>
      <w:r w:rsidR="00054AC7">
        <w:rPr>
          <w:rFonts w:ascii="微软雅黑" w:eastAsia="微软雅黑" w:hAnsi="微软雅黑" w:hint="eastAsia"/>
          <w:szCs w:val="21"/>
        </w:rPr>
        <w:t>75</w:t>
      </w:r>
      <w:r>
        <w:rPr>
          <w:rFonts w:ascii="微软雅黑" w:eastAsia="微软雅黑" w:hAnsi="微软雅黑" w:hint="eastAsia"/>
          <w:szCs w:val="21"/>
        </w:rPr>
        <w:t>%（以产品到期公告为准），未达到</w:t>
      </w:r>
      <w:proofErr w:type="gramStart"/>
      <w:r>
        <w:rPr>
          <w:rFonts w:ascii="微软雅黑" w:eastAsia="微软雅黑" w:hAnsi="微软雅黑" w:hint="eastAsia"/>
          <w:szCs w:val="21"/>
        </w:rPr>
        <w:t>预期年化收益率</w:t>
      </w:r>
      <w:proofErr w:type="gramEnd"/>
      <w:r>
        <w:rPr>
          <w:rFonts w:ascii="微软雅黑" w:eastAsia="微软雅黑" w:hAnsi="微软雅黑" w:hint="eastAsia"/>
          <w:szCs w:val="21"/>
        </w:rPr>
        <w:t>，实际理财天数为</w:t>
      </w:r>
      <w:r w:rsidR="00F27CE0">
        <w:rPr>
          <w:rFonts w:ascii="微软雅黑" w:eastAsia="微软雅黑" w:hAnsi="微软雅黑" w:hint="eastAsia"/>
          <w:szCs w:val="21"/>
        </w:rPr>
        <w:t>154</w:t>
      </w:r>
      <w:r>
        <w:rPr>
          <w:rFonts w:ascii="微软雅黑" w:eastAsia="微软雅黑" w:hAnsi="微软雅黑" w:hint="eastAsia"/>
          <w:szCs w:val="21"/>
        </w:rPr>
        <w:t>天。</w:t>
      </w:r>
    </w:p>
    <w:p w:rsidR="00A563D1" w:rsidRDefault="00812934">
      <w:pPr>
        <w:spacing w:line="300" w:lineRule="exact"/>
        <w:ind w:firstLineChars="200" w:firstLine="420"/>
        <w:rPr>
          <w:rFonts w:ascii="微软雅黑" w:eastAsia="微软雅黑" w:hAnsi="微软雅黑"/>
          <w:szCs w:val="21"/>
        </w:rPr>
      </w:pPr>
      <w:r>
        <w:rPr>
          <w:rFonts w:ascii="微软雅黑" w:eastAsia="微软雅黑" w:hAnsi="微软雅黑" w:hint="eastAsia"/>
          <w:szCs w:val="21"/>
        </w:rPr>
        <w:t>投资者获得的理财收益金额＝50000×3.7</w:t>
      </w:r>
      <w:r w:rsidR="00054AC7">
        <w:rPr>
          <w:rFonts w:ascii="微软雅黑" w:eastAsia="微软雅黑" w:hAnsi="微软雅黑" w:hint="eastAsia"/>
          <w:szCs w:val="21"/>
        </w:rPr>
        <w:t>5</w:t>
      </w:r>
      <w:r>
        <w:rPr>
          <w:rFonts w:ascii="微软雅黑" w:eastAsia="微软雅黑" w:hAnsi="微软雅黑" w:hint="eastAsia"/>
          <w:szCs w:val="21"/>
        </w:rPr>
        <w:t>%×</w:t>
      </w:r>
      <w:r w:rsidR="00054AC7">
        <w:rPr>
          <w:rFonts w:ascii="微软雅黑" w:eastAsia="微软雅黑" w:hAnsi="微软雅黑" w:hint="eastAsia"/>
          <w:szCs w:val="21"/>
        </w:rPr>
        <w:t>154</w:t>
      </w:r>
      <w:r>
        <w:rPr>
          <w:rFonts w:ascii="微软雅黑" w:eastAsia="微软雅黑" w:hAnsi="微软雅黑" w:hint="eastAsia"/>
          <w:szCs w:val="21"/>
        </w:rPr>
        <w:t>÷365＝</w:t>
      </w:r>
      <w:r w:rsidR="00054AC7">
        <w:rPr>
          <w:rFonts w:ascii="微软雅黑" w:eastAsia="微软雅黑" w:hAnsi="微软雅黑" w:hint="eastAsia"/>
          <w:szCs w:val="21"/>
        </w:rPr>
        <w:t>791.10</w:t>
      </w:r>
      <w:r>
        <w:rPr>
          <w:rFonts w:ascii="微软雅黑" w:eastAsia="微软雅黑" w:hAnsi="微软雅黑" w:hint="eastAsia"/>
          <w:szCs w:val="21"/>
        </w:rPr>
        <w:t>元。</w:t>
      </w:r>
    </w:p>
    <w:p w:rsidR="00A563D1" w:rsidRDefault="00812934">
      <w:pPr>
        <w:spacing w:line="300" w:lineRule="exact"/>
        <w:ind w:firstLineChars="200" w:firstLine="420"/>
        <w:rPr>
          <w:rFonts w:ascii="微软雅黑" w:eastAsia="微软雅黑" w:hAnsi="微软雅黑"/>
          <w:szCs w:val="21"/>
        </w:rPr>
      </w:pPr>
      <w:r>
        <w:rPr>
          <w:rFonts w:ascii="微软雅黑" w:eastAsia="微软雅黑" w:hAnsi="微软雅黑" w:hint="eastAsia"/>
          <w:b/>
          <w:szCs w:val="21"/>
        </w:rPr>
        <w:t>最不利的情景：</w:t>
      </w:r>
      <w:r>
        <w:rPr>
          <w:rFonts w:ascii="微软雅黑" w:eastAsia="微软雅黑" w:hAnsi="微软雅黑" w:hint="eastAsia"/>
          <w:szCs w:val="21"/>
        </w:rPr>
        <w:t>以某客户投资5</w:t>
      </w:r>
      <w:r>
        <w:rPr>
          <w:rFonts w:ascii="微软雅黑" w:eastAsia="微软雅黑" w:hAnsi="微软雅黑"/>
          <w:szCs w:val="21"/>
        </w:rPr>
        <w:t>万元为例，如果产品到期时，理财资产投资交易对手没有完全正常</w:t>
      </w:r>
      <w:r>
        <w:rPr>
          <w:rFonts w:ascii="微软雅黑" w:eastAsia="微软雅黑" w:hAnsi="微软雅黑" w:hint="eastAsia"/>
          <w:szCs w:val="21"/>
        </w:rPr>
        <w:t>兑付</w:t>
      </w:r>
      <w:r>
        <w:rPr>
          <w:rFonts w:ascii="微软雅黑" w:eastAsia="微软雅黑" w:hAnsi="微软雅黑"/>
          <w:szCs w:val="21"/>
        </w:rPr>
        <w:t>，或</w:t>
      </w:r>
      <w:r>
        <w:rPr>
          <w:rFonts w:ascii="微软雅黑" w:eastAsia="微软雅黑" w:hAnsi="微软雅黑" w:hint="eastAsia"/>
          <w:szCs w:val="21"/>
        </w:rPr>
        <w:t>兑付金额</w:t>
      </w:r>
      <w:r>
        <w:rPr>
          <w:rFonts w:ascii="微软雅黑" w:eastAsia="微软雅黑" w:hAnsi="微软雅黑"/>
          <w:szCs w:val="21"/>
        </w:rPr>
        <w:t>不足以支付理财产品托管费、</w:t>
      </w:r>
      <w:r>
        <w:rPr>
          <w:rFonts w:ascii="微软雅黑" w:eastAsia="微软雅黑" w:hAnsi="微软雅黑" w:hint="eastAsia"/>
          <w:szCs w:val="21"/>
        </w:rPr>
        <w:t>投资</w:t>
      </w:r>
      <w:r>
        <w:rPr>
          <w:rFonts w:ascii="微软雅黑" w:eastAsia="微软雅黑" w:hAnsi="微软雅黑"/>
          <w:szCs w:val="21"/>
        </w:rPr>
        <w:t>管理费、投资者本金和收益，则该客户将可能</w:t>
      </w:r>
      <w:r>
        <w:rPr>
          <w:rFonts w:ascii="微软雅黑" w:eastAsia="微软雅黑" w:hAnsi="微软雅黑" w:hint="eastAsia"/>
          <w:szCs w:val="21"/>
        </w:rPr>
        <w:t>延迟收到本金和理财收益，且有可能损失本金。</w:t>
      </w:r>
    </w:p>
    <w:p w:rsidR="00A563D1" w:rsidRDefault="00812934">
      <w:pPr>
        <w:spacing w:line="300" w:lineRule="exact"/>
        <w:ind w:firstLineChars="200" w:firstLine="420"/>
        <w:rPr>
          <w:rFonts w:ascii="微软雅黑" w:eastAsia="微软雅黑" w:hAnsi="微软雅黑"/>
          <w:b/>
          <w:szCs w:val="21"/>
        </w:rPr>
      </w:pPr>
      <w:r>
        <w:rPr>
          <w:rFonts w:ascii="微软雅黑" w:eastAsia="微软雅黑" w:hAnsi="微软雅黑" w:hint="eastAsia"/>
          <w:b/>
          <w:szCs w:val="21"/>
        </w:rPr>
        <w:t>（以上情景均采用假设数据计算，仅为举例之用，不作为最终收益的计算依据。测算收益不等于实际收益，投资须谨慎。）</w:t>
      </w:r>
    </w:p>
    <w:p w:rsidR="00A563D1" w:rsidRDefault="00812934">
      <w:pPr>
        <w:spacing w:line="300" w:lineRule="exact"/>
        <w:rPr>
          <w:rFonts w:ascii="微软雅黑" w:eastAsia="微软雅黑" w:hAnsi="微软雅黑"/>
          <w:b/>
          <w:szCs w:val="21"/>
        </w:rPr>
      </w:pPr>
      <w:r>
        <w:rPr>
          <w:rFonts w:ascii="微软雅黑" w:eastAsia="微软雅黑" w:hAnsi="微软雅黑" w:hint="eastAsia"/>
          <w:b/>
          <w:szCs w:val="21"/>
        </w:rPr>
        <w:t>四、产品成立</w:t>
      </w:r>
    </w:p>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 xml:space="preserve">    在认购期内，未发生影响产品</w:t>
      </w:r>
      <w:proofErr w:type="gramStart"/>
      <w:r>
        <w:rPr>
          <w:rFonts w:ascii="微软雅黑" w:eastAsia="微软雅黑" w:hAnsi="微软雅黑" w:hint="eastAsia"/>
          <w:szCs w:val="21"/>
        </w:rPr>
        <w:t>正常成立</w:t>
      </w:r>
      <w:proofErr w:type="gramEnd"/>
      <w:r>
        <w:rPr>
          <w:rFonts w:ascii="微软雅黑" w:eastAsia="微软雅黑" w:hAnsi="微软雅黑" w:hint="eastAsia"/>
          <w:szCs w:val="21"/>
        </w:rPr>
        <w:t>的任何异常事件，产品正常成立。</w:t>
      </w:r>
    </w:p>
    <w:p w:rsidR="00A563D1" w:rsidRDefault="00812934">
      <w:pPr>
        <w:spacing w:line="300" w:lineRule="exact"/>
        <w:ind w:firstLine="420"/>
        <w:rPr>
          <w:rFonts w:ascii="微软雅黑" w:eastAsia="微软雅黑" w:hAnsi="微软雅黑"/>
          <w:szCs w:val="21"/>
        </w:rPr>
      </w:pPr>
      <w:r>
        <w:rPr>
          <w:rFonts w:ascii="微软雅黑" w:eastAsia="微软雅黑" w:hAnsi="微软雅黑" w:hint="eastAsia"/>
          <w:szCs w:val="21"/>
        </w:rPr>
        <w:t>珠海华润银行有权提前结束认购并提前成立，产品提前成立时珠海华润银行将发布公告并调整相关日期，产品最终发行量以实际认购金额为准。</w:t>
      </w:r>
    </w:p>
    <w:p w:rsidR="00A563D1" w:rsidRDefault="00812934">
      <w:pPr>
        <w:spacing w:line="300" w:lineRule="exact"/>
        <w:ind w:firstLineChars="200" w:firstLine="420"/>
        <w:rPr>
          <w:rFonts w:ascii="微软雅黑" w:eastAsia="微软雅黑" w:hAnsi="微软雅黑"/>
          <w:szCs w:val="21"/>
        </w:rPr>
      </w:pPr>
      <w:r>
        <w:rPr>
          <w:rFonts w:ascii="微软雅黑" w:eastAsia="微软雅黑" w:hAnsi="微软雅黑" w:hint="eastAsia"/>
          <w:szCs w:val="21"/>
        </w:rPr>
        <w:t>如果市场发生不利情况，经珠海华润银行合理判断难以按照本产品说明书规定向投资者提供本理财计划，珠海华润银行有权宣布该计划不成立。自宣布该理财计划不成立之日起2个工作日内，珠海华润银行将投资者认购本金退还至投资者指定账户。</w:t>
      </w:r>
    </w:p>
    <w:p w:rsidR="00A563D1" w:rsidRDefault="00812934">
      <w:pPr>
        <w:spacing w:line="300" w:lineRule="exact"/>
        <w:rPr>
          <w:rFonts w:ascii="微软雅黑" w:eastAsia="微软雅黑" w:hAnsi="微软雅黑"/>
          <w:b/>
          <w:szCs w:val="21"/>
        </w:rPr>
      </w:pPr>
      <w:r>
        <w:rPr>
          <w:rFonts w:ascii="微软雅黑" w:eastAsia="微软雅黑" w:hAnsi="微软雅黑" w:hint="eastAsia"/>
          <w:b/>
          <w:szCs w:val="21"/>
        </w:rPr>
        <w:t xml:space="preserve">五、提前终止 </w:t>
      </w:r>
    </w:p>
    <w:p w:rsidR="00A563D1" w:rsidRDefault="00812934">
      <w:pPr>
        <w:spacing w:line="300" w:lineRule="exact"/>
        <w:ind w:firstLineChars="200" w:firstLine="420"/>
        <w:rPr>
          <w:rFonts w:ascii="微软雅黑" w:eastAsia="微软雅黑" w:hAnsi="微软雅黑"/>
          <w:szCs w:val="21"/>
        </w:rPr>
      </w:pPr>
      <w:r>
        <w:rPr>
          <w:rFonts w:ascii="微软雅黑" w:eastAsia="微软雅黑" w:hAnsi="微软雅黑" w:hint="eastAsia"/>
          <w:szCs w:val="21"/>
        </w:rPr>
        <w:t>本理财计划成立后，如出现但不限于如下情形，珠海华润银行有权但无义务提前终止该计划。在提前终止日后2个工作日内将理财本金和理财收益划转至投资者指定账户。</w:t>
      </w:r>
    </w:p>
    <w:p w:rsidR="00A563D1" w:rsidRDefault="00812934">
      <w:pPr>
        <w:spacing w:line="300" w:lineRule="exact"/>
        <w:ind w:firstLineChars="200" w:firstLine="420"/>
        <w:rPr>
          <w:rFonts w:ascii="微软雅黑" w:eastAsia="微软雅黑" w:hAnsi="微软雅黑"/>
          <w:szCs w:val="21"/>
        </w:rPr>
      </w:pPr>
      <w:r>
        <w:rPr>
          <w:rFonts w:ascii="微软雅黑" w:eastAsia="微软雅黑" w:hAnsi="微软雅黑" w:hint="eastAsia"/>
          <w:szCs w:val="21"/>
        </w:rPr>
        <w:t xml:space="preserve">(1)  如遇国家宏观政策出现重大调整并影响到本理财计划的正常运作时， 珠海华润银行有权提前终止本理财计划； </w:t>
      </w:r>
    </w:p>
    <w:p w:rsidR="00A563D1" w:rsidRDefault="00812934">
      <w:pPr>
        <w:spacing w:line="300" w:lineRule="exact"/>
        <w:ind w:firstLineChars="200" w:firstLine="420"/>
        <w:rPr>
          <w:rFonts w:ascii="微软雅黑" w:eastAsia="微软雅黑" w:hAnsi="微软雅黑"/>
          <w:szCs w:val="21"/>
        </w:rPr>
      </w:pPr>
      <w:r>
        <w:rPr>
          <w:rFonts w:ascii="微软雅黑" w:eastAsia="微软雅黑" w:hAnsi="微软雅黑" w:hint="eastAsia"/>
          <w:szCs w:val="21"/>
        </w:rPr>
        <w:t>(2)  因市场利率大幅下滑， 珠海华润银行合理判断提前终止理财计划可以最大限度保护投资者的既有收益，珠海华润银行亦有权提前终止本理财计划。</w:t>
      </w:r>
    </w:p>
    <w:p w:rsidR="00A563D1" w:rsidRDefault="00812934">
      <w:pPr>
        <w:spacing w:line="300" w:lineRule="exact"/>
        <w:rPr>
          <w:rFonts w:ascii="微软雅黑" w:eastAsia="微软雅黑" w:hAnsi="微软雅黑"/>
          <w:b/>
          <w:szCs w:val="21"/>
        </w:rPr>
      </w:pPr>
      <w:r>
        <w:rPr>
          <w:rFonts w:ascii="微软雅黑" w:eastAsia="微软雅黑" w:hAnsi="微软雅黑" w:hint="eastAsia"/>
          <w:b/>
          <w:szCs w:val="21"/>
        </w:rPr>
        <w:t>六、理财资金兑付</w:t>
      </w:r>
    </w:p>
    <w:p w:rsidR="00A563D1" w:rsidRDefault="00812934">
      <w:pPr>
        <w:spacing w:line="300" w:lineRule="exact"/>
        <w:rPr>
          <w:rFonts w:ascii="微软雅黑" w:eastAsia="微软雅黑" w:hAnsi="微软雅黑"/>
          <w:b/>
          <w:szCs w:val="21"/>
        </w:rPr>
      </w:pPr>
      <w:r>
        <w:rPr>
          <w:rFonts w:ascii="微软雅黑" w:eastAsia="微软雅黑" w:hAnsi="微软雅黑" w:hint="eastAsia"/>
          <w:b/>
          <w:szCs w:val="21"/>
        </w:rPr>
        <w:t xml:space="preserve">    </w:t>
      </w:r>
      <w:r>
        <w:rPr>
          <w:rFonts w:ascii="微软雅黑" w:eastAsia="微软雅黑" w:hAnsi="微软雅黑" w:hint="eastAsia"/>
          <w:szCs w:val="21"/>
        </w:rPr>
        <w:t>本理财计划存续期间，不开放赎回；理财计划到期或提前终止时，珠海华润银行向投资者一次性兑付理财资金，并在到期日后或提前终止日后2个工作日内划转至投资者指定账户。</w:t>
      </w:r>
    </w:p>
    <w:p w:rsidR="00A563D1" w:rsidRDefault="00812934">
      <w:pPr>
        <w:spacing w:line="300" w:lineRule="exact"/>
        <w:rPr>
          <w:rFonts w:ascii="微软雅黑" w:eastAsia="微软雅黑" w:hAnsi="微软雅黑"/>
          <w:b/>
          <w:szCs w:val="21"/>
        </w:rPr>
      </w:pPr>
      <w:r>
        <w:rPr>
          <w:rFonts w:ascii="微软雅黑" w:eastAsia="微软雅黑" w:hAnsi="微软雅黑" w:hint="eastAsia"/>
          <w:b/>
          <w:szCs w:val="21"/>
        </w:rPr>
        <w:t>七、风险揭示</w:t>
      </w:r>
    </w:p>
    <w:p w:rsidR="00A563D1" w:rsidRDefault="00812934">
      <w:pPr>
        <w:spacing w:line="300" w:lineRule="exact"/>
        <w:rPr>
          <w:rFonts w:ascii="微软雅黑" w:eastAsia="微软雅黑" w:hAnsi="微软雅黑"/>
          <w:szCs w:val="21"/>
        </w:rPr>
      </w:pPr>
      <w:r>
        <w:rPr>
          <w:rFonts w:ascii="微软雅黑" w:eastAsia="微软雅黑" w:hAnsi="微软雅黑"/>
          <w:szCs w:val="21"/>
        </w:rPr>
        <w:t>1、</w:t>
      </w:r>
      <w:r>
        <w:rPr>
          <w:rFonts w:ascii="微软雅黑" w:eastAsia="微软雅黑" w:hAnsi="微软雅黑" w:hint="eastAsia"/>
          <w:szCs w:val="21"/>
        </w:rPr>
        <w:t xml:space="preserve"> </w:t>
      </w:r>
      <w:r>
        <w:rPr>
          <w:rFonts w:ascii="微软雅黑" w:eastAsia="微软雅黑" w:hAnsi="微软雅黑"/>
          <w:szCs w:val="21"/>
        </w:rPr>
        <w:t>本金及理财收益风险：</w:t>
      </w:r>
      <w:r>
        <w:rPr>
          <w:rFonts w:ascii="微软雅黑" w:eastAsia="微软雅黑" w:hAnsi="微软雅黑" w:hint="eastAsia"/>
          <w:szCs w:val="21"/>
        </w:rPr>
        <w:t>珠海华润银行不保证理财资金的本金和收益，您的本金可能会因市场变动而蒙受小幅损失，实际理财收益将按照珠海华润银行公布的到期（提前终止）</w:t>
      </w:r>
      <w:proofErr w:type="gramStart"/>
      <w:r>
        <w:rPr>
          <w:rFonts w:ascii="微软雅黑" w:eastAsia="微软雅黑" w:hAnsi="微软雅黑" w:hint="eastAsia"/>
          <w:szCs w:val="21"/>
        </w:rPr>
        <w:t>年化收益率</w:t>
      </w:r>
      <w:proofErr w:type="gramEnd"/>
      <w:r>
        <w:rPr>
          <w:rFonts w:ascii="微软雅黑" w:eastAsia="微软雅黑" w:hAnsi="微软雅黑" w:hint="eastAsia"/>
          <w:szCs w:val="21"/>
        </w:rPr>
        <w:t>计算。</w:t>
      </w:r>
    </w:p>
    <w:p w:rsidR="00A563D1" w:rsidRDefault="00812934">
      <w:pPr>
        <w:spacing w:line="300" w:lineRule="exact"/>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 政策风险：本理财计划是针对当前的相关法规和政策设计的。如国家宏观政策以及市场相关法规政策发生变化，可能影响理财计划的受理、投资、兑付等的正常进行，导致本理</w:t>
      </w:r>
      <w:r>
        <w:rPr>
          <w:rFonts w:ascii="微软雅黑" w:eastAsia="微软雅黑" w:hAnsi="微软雅黑" w:hint="eastAsia"/>
          <w:szCs w:val="21"/>
        </w:rPr>
        <w:lastRenderedPageBreak/>
        <w:t>财计划收益降低，甚至本金损失。</w:t>
      </w:r>
      <w:r>
        <w:rPr>
          <w:rFonts w:ascii="微软雅黑" w:eastAsia="微软雅黑" w:hAnsi="微软雅黑"/>
          <w:szCs w:val="21"/>
        </w:rPr>
        <w:t xml:space="preserve"> </w:t>
      </w:r>
    </w:p>
    <w:p w:rsidR="00A563D1" w:rsidRDefault="00812934">
      <w:pPr>
        <w:spacing w:line="300" w:lineRule="exact"/>
        <w:rPr>
          <w:rFonts w:ascii="微软雅黑" w:eastAsia="微软雅黑" w:hAnsi="微软雅黑"/>
          <w:szCs w:val="21"/>
        </w:rPr>
      </w:pPr>
      <w:r>
        <w:rPr>
          <w:rFonts w:ascii="微软雅黑" w:eastAsia="微软雅黑" w:hAnsi="微软雅黑"/>
          <w:szCs w:val="21"/>
        </w:rPr>
        <w:t>3</w:t>
      </w:r>
      <w:r>
        <w:rPr>
          <w:rFonts w:ascii="微软雅黑" w:eastAsia="微软雅黑" w:hAnsi="微软雅黑" w:hint="eastAsia"/>
          <w:szCs w:val="21"/>
        </w:rPr>
        <w:t>、 市场风险：本理财计划的</w:t>
      </w:r>
      <w:proofErr w:type="gramStart"/>
      <w:r>
        <w:rPr>
          <w:rFonts w:ascii="微软雅黑" w:eastAsia="微软雅黑" w:hAnsi="微软雅黑" w:hint="eastAsia"/>
          <w:szCs w:val="21"/>
        </w:rPr>
        <w:t>预期年化收益率</w:t>
      </w:r>
      <w:proofErr w:type="gramEnd"/>
      <w:r>
        <w:rPr>
          <w:rFonts w:ascii="微软雅黑" w:eastAsia="微软雅黑" w:hAnsi="微软雅黑" w:hint="eastAsia"/>
          <w:szCs w:val="21"/>
        </w:rPr>
        <w:t>参照该理财计划成立时投资资产的收益率确定，在本理财计划成立至到期期间，市场利率上升，本理财计划的收益率不随之提高，由此产生的利率风险由投资者自行承担。</w:t>
      </w:r>
      <w:r>
        <w:rPr>
          <w:rFonts w:ascii="微软雅黑" w:eastAsia="微软雅黑" w:hAnsi="微软雅黑"/>
          <w:szCs w:val="21"/>
        </w:rPr>
        <w:t xml:space="preserve"> </w:t>
      </w:r>
    </w:p>
    <w:p w:rsidR="00A563D1" w:rsidRDefault="00812934">
      <w:pPr>
        <w:spacing w:line="300" w:lineRule="exact"/>
        <w:rPr>
          <w:rFonts w:ascii="微软雅黑" w:eastAsia="微软雅黑" w:hAnsi="微软雅黑"/>
          <w:szCs w:val="21"/>
        </w:rPr>
      </w:pPr>
      <w:r>
        <w:rPr>
          <w:rFonts w:ascii="微软雅黑" w:eastAsia="微软雅黑" w:hAnsi="微软雅黑"/>
          <w:szCs w:val="21"/>
        </w:rPr>
        <w:t>4</w:t>
      </w:r>
      <w:r>
        <w:rPr>
          <w:rFonts w:ascii="微软雅黑" w:eastAsia="微软雅黑" w:hAnsi="微软雅黑" w:hint="eastAsia"/>
          <w:szCs w:val="21"/>
        </w:rPr>
        <w:t>、 流动性风险：投资者只能在本理财计划《产品说明书》规定的时间内办理认购，本理财计划成立后投资者不享有提前赎回权利。本理财产品可办理质押贷款。</w:t>
      </w:r>
    </w:p>
    <w:p w:rsidR="00A563D1" w:rsidRDefault="00812934">
      <w:pPr>
        <w:spacing w:line="300" w:lineRule="exact"/>
        <w:rPr>
          <w:rFonts w:ascii="微软雅黑" w:eastAsia="微软雅黑" w:hAnsi="微软雅黑"/>
          <w:szCs w:val="21"/>
        </w:rPr>
      </w:pPr>
      <w:r>
        <w:rPr>
          <w:rFonts w:ascii="微软雅黑" w:eastAsia="微软雅黑" w:hAnsi="微软雅黑"/>
          <w:szCs w:val="21"/>
        </w:rPr>
        <w:t>5</w:t>
      </w:r>
      <w:r>
        <w:rPr>
          <w:rFonts w:ascii="微软雅黑" w:eastAsia="微软雅黑" w:hAnsi="微软雅黑" w:hint="eastAsia"/>
          <w:szCs w:val="21"/>
        </w:rPr>
        <w:t>、 信息传递风险：本理财计划存续期内不提供估值，不提供账单，投资者应根据本理财计划《产品说明书》所载明的信息披露方式及时查询本理财计划的相关信息。投资者可以通过以下渠道查询信息：①登陆珠海华润银行官方网站（</w:t>
      </w:r>
      <w:r>
        <w:rPr>
          <w:rFonts w:ascii="微软雅黑" w:eastAsia="微软雅黑" w:hAnsi="微软雅黑"/>
          <w:szCs w:val="21"/>
        </w:rPr>
        <w:t>www.crbank.com.cn）</w:t>
      </w:r>
      <w:r>
        <w:rPr>
          <w:rFonts w:ascii="微软雅黑" w:eastAsia="微软雅黑" w:hAnsi="微软雅黑" w:hint="eastAsia"/>
          <w:szCs w:val="21"/>
        </w:rPr>
        <w:t>；②致电珠海华润银行</w:t>
      </w:r>
      <w:r>
        <w:rPr>
          <w:rFonts w:ascii="微软雅黑" w:eastAsia="微软雅黑" w:hAnsi="微软雅黑"/>
          <w:szCs w:val="21"/>
        </w:rPr>
        <w:t>24小时客户服务热线4008800338或96588（广东省外请加拨0756）</w:t>
      </w:r>
      <w:r>
        <w:rPr>
          <w:rFonts w:ascii="微软雅黑" w:eastAsia="微软雅黑" w:hAnsi="微软雅黑" w:hint="eastAsia"/>
          <w:szCs w:val="21"/>
        </w:rPr>
        <w:t>；③亲临德庆华润村镇银行各营业网点。如果投资者未及时查询，或由于通讯故障、系统故障以及其他不可抗力等因素的影响，使得投资者无法及时了解本理财计划信息，并由此影响投资者的投资决策，因此而产生的责任和风险由投资者自行承担。投资者有效联系方式如有变更，应及时到德庆华润村镇银行办理变更手续。如因投资者未及时办理联系方式变更手续，导致我行或德庆华润村镇银行在需要联系投资者时，无法及时联系上投资者，由此而产生的责任和风险由投资者自行承担。</w:t>
      </w:r>
      <w:r>
        <w:rPr>
          <w:rFonts w:ascii="微软雅黑" w:eastAsia="微软雅黑" w:hAnsi="微软雅黑"/>
          <w:szCs w:val="21"/>
        </w:rPr>
        <w:t xml:space="preserve"> </w:t>
      </w:r>
    </w:p>
    <w:p w:rsidR="00A563D1" w:rsidRDefault="00812934">
      <w:pPr>
        <w:spacing w:line="300" w:lineRule="exact"/>
        <w:rPr>
          <w:rFonts w:ascii="微软雅黑" w:eastAsia="微软雅黑" w:hAnsi="微软雅黑"/>
          <w:szCs w:val="21"/>
        </w:rPr>
      </w:pPr>
      <w:r>
        <w:rPr>
          <w:rFonts w:ascii="微软雅黑" w:eastAsia="微软雅黑" w:hAnsi="微软雅黑"/>
          <w:szCs w:val="21"/>
        </w:rPr>
        <w:t>6</w:t>
      </w:r>
      <w:r>
        <w:rPr>
          <w:rFonts w:ascii="微软雅黑" w:eastAsia="微软雅黑" w:hAnsi="微软雅黑" w:hint="eastAsia"/>
          <w:szCs w:val="21"/>
        </w:rPr>
        <w:t>、 不可抗力风险：自然灾害、战争等不可抗力因素的出现，将严重影响金融市场的正常运行，可能影响本理财计划的受理、投资、兑付等的正常进行，导致本理财计划收益降低，甚至本金损失。对于由不可抗力风险所导致的任何损失，由投资者自行承担，德庆华润村镇银行对此不承担任何责任。</w:t>
      </w:r>
    </w:p>
    <w:p w:rsidR="00A563D1" w:rsidRDefault="00812934">
      <w:pPr>
        <w:spacing w:line="300" w:lineRule="exact"/>
        <w:rPr>
          <w:rFonts w:ascii="微软雅黑" w:eastAsia="微软雅黑" w:hAnsi="微软雅黑"/>
          <w:b/>
          <w:szCs w:val="21"/>
        </w:rPr>
      </w:pPr>
      <w:r>
        <w:rPr>
          <w:rFonts w:ascii="微软雅黑" w:eastAsia="微软雅黑" w:hAnsi="微软雅黑" w:hint="eastAsia"/>
          <w:b/>
          <w:szCs w:val="21"/>
        </w:rPr>
        <w:t xml:space="preserve">八、信息披露 </w:t>
      </w:r>
    </w:p>
    <w:p w:rsidR="00A563D1" w:rsidRDefault="00812934">
      <w:pPr>
        <w:spacing w:line="300" w:lineRule="exact"/>
        <w:ind w:firstLineChars="200" w:firstLine="420"/>
        <w:rPr>
          <w:rFonts w:ascii="微软雅黑" w:eastAsia="微软雅黑" w:hAnsi="微软雅黑"/>
          <w:szCs w:val="21"/>
        </w:rPr>
      </w:pPr>
      <w:r>
        <w:rPr>
          <w:rFonts w:ascii="微软雅黑" w:eastAsia="微软雅黑" w:hAnsi="微软雅黑" w:hint="eastAsia"/>
          <w:szCs w:val="21"/>
        </w:rPr>
        <w:t>我行将及时在我行官方网站（www.crbank.com.cn</w:t>
      </w:r>
      <w:r>
        <w:rPr>
          <w:rFonts w:ascii="微软雅黑" w:eastAsia="微软雅黑" w:hAnsi="微软雅黑"/>
          <w:szCs w:val="21"/>
        </w:rPr>
        <w:t>）</w:t>
      </w:r>
      <w:r>
        <w:rPr>
          <w:rFonts w:ascii="微软雅黑" w:eastAsia="微软雅黑" w:hAnsi="微软雅黑" w:hint="eastAsia"/>
          <w:szCs w:val="21"/>
        </w:rPr>
        <w:t>或我行认为适当的其他渠道，发布产品的相关公告，具体公告分类如下：</w:t>
      </w:r>
    </w:p>
    <w:p w:rsidR="00A563D1" w:rsidRDefault="00812934">
      <w:pPr>
        <w:numPr>
          <w:ilvl w:val="0"/>
          <w:numId w:val="2"/>
        </w:numPr>
        <w:spacing w:line="300" w:lineRule="exact"/>
        <w:ind w:left="0" w:firstLine="0"/>
        <w:rPr>
          <w:rFonts w:ascii="微软雅黑" w:eastAsia="微软雅黑" w:hAnsi="微软雅黑"/>
          <w:szCs w:val="21"/>
        </w:rPr>
      </w:pPr>
      <w:r>
        <w:rPr>
          <w:rFonts w:ascii="微软雅黑" w:eastAsia="微软雅黑" w:hAnsi="微软雅黑" w:hint="eastAsia"/>
          <w:szCs w:val="21"/>
        </w:rPr>
        <w:t>我行将在每期理财计划发行前3个工作日内，发布“产品发行公告”。</w:t>
      </w:r>
    </w:p>
    <w:p w:rsidR="00A563D1" w:rsidRDefault="00812934">
      <w:pPr>
        <w:numPr>
          <w:ilvl w:val="0"/>
          <w:numId w:val="2"/>
        </w:numPr>
        <w:spacing w:line="300" w:lineRule="exact"/>
        <w:ind w:left="0" w:firstLine="0"/>
        <w:rPr>
          <w:rFonts w:ascii="微软雅黑" w:eastAsia="微软雅黑" w:hAnsi="微软雅黑"/>
          <w:szCs w:val="21"/>
        </w:rPr>
      </w:pPr>
      <w:r>
        <w:rPr>
          <w:rFonts w:ascii="微软雅黑" w:eastAsia="微软雅黑" w:hAnsi="微软雅黑" w:hint="eastAsia"/>
          <w:szCs w:val="21"/>
        </w:rPr>
        <w:t>如本理财计划顺利成立，我行将于理财计划成立日后3个工作日内，发布“产品成立公告”。</w:t>
      </w:r>
    </w:p>
    <w:p w:rsidR="00A563D1" w:rsidRDefault="00812934">
      <w:pPr>
        <w:numPr>
          <w:ilvl w:val="0"/>
          <w:numId w:val="2"/>
        </w:numPr>
        <w:spacing w:line="300" w:lineRule="exact"/>
        <w:ind w:left="0" w:firstLine="0"/>
        <w:rPr>
          <w:rFonts w:ascii="微软雅黑" w:eastAsia="微软雅黑" w:hAnsi="微软雅黑"/>
          <w:szCs w:val="21"/>
        </w:rPr>
      </w:pPr>
      <w:r>
        <w:rPr>
          <w:rFonts w:ascii="微软雅黑" w:eastAsia="微软雅黑" w:hAnsi="微软雅黑" w:hint="eastAsia"/>
          <w:szCs w:val="21"/>
        </w:rPr>
        <w:t>如我行宣布本理财计划不成立，我行将于宣布理财计划不成立之日后2个工作日内，发布“产品不成立公告”。</w:t>
      </w:r>
    </w:p>
    <w:p w:rsidR="00A563D1" w:rsidRDefault="00812934">
      <w:pPr>
        <w:numPr>
          <w:ilvl w:val="0"/>
          <w:numId w:val="2"/>
        </w:numPr>
        <w:spacing w:line="300" w:lineRule="exact"/>
        <w:ind w:left="0" w:firstLine="0"/>
        <w:rPr>
          <w:rFonts w:ascii="微软雅黑" w:eastAsia="微软雅黑" w:hAnsi="微软雅黑"/>
          <w:szCs w:val="21"/>
        </w:rPr>
      </w:pPr>
      <w:r>
        <w:rPr>
          <w:rFonts w:ascii="微软雅黑" w:eastAsia="微软雅黑" w:hAnsi="微软雅黑" w:hint="eastAsia"/>
          <w:szCs w:val="21"/>
        </w:rPr>
        <w:t>如本理财计划顺利到期，我行将于理财计划到期日后3个工作日内，发布“产品到期公告”。</w:t>
      </w:r>
    </w:p>
    <w:p w:rsidR="00A563D1" w:rsidRDefault="00812934">
      <w:pPr>
        <w:numPr>
          <w:ilvl w:val="0"/>
          <w:numId w:val="2"/>
        </w:numPr>
        <w:spacing w:line="300" w:lineRule="exact"/>
        <w:ind w:left="0" w:firstLine="0"/>
        <w:rPr>
          <w:rFonts w:ascii="微软雅黑" w:eastAsia="微软雅黑" w:hAnsi="微软雅黑"/>
          <w:szCs w:val="21"/>
        </w:rPr>
      </w:pPr>
      <w:r>
        <w:rPr>
          <w:rFonts w:ascii="微软雅黑" w:eastAsia="微软雅黑" w:hAnsi="微软雅黑" w:hint="eastAsia"/>
          <w:szCs w:val="21"/>
        </w:rPr>
        <w:t>如我行提前终止本理财计划，我行将于提前终止本理财计划日后2个工作日内，发布“产品提前终止公告”</w:t>
      </w:r>
    </w:p>
    <w:p w:rsidR="00A563D1" w:rsidRDefault="00812934">
      <w:pPr>
        <w:numPr>
          <w:ilvl w:val="0"/>
          <w:numId w:val="2"/>
        </w:numPr>
        <w:spacing w:line="300" w:lineRule="exact"/>
        <w:ind w:left="0" w:firstLine="0"/>
        <w:rPr>
          <w:rFonts w:ascii="微软雅黑" w:eastAsia="微软雅黑" w:hAnsi="微软雅黑"/>
          <w:szCs w:val="21"/>
        </w:rPr>
      </w:pPr>
      <w:r>
        <w:rPr>
          <w:rFonts w:ascii="微软雅黑" w:eastAsia="微软雅黑" w:hAnsi="微软雅黑" w:hint="eastAsia"/>
          <w:szCs w:val="21"/>
        </w:rPr>
        <w:t>在本理财计划存续期间，如国家宏观政策或市场发生了可能对本理财计划本金及理财收益造成重大影响的事件，我行认为需要及时公布的，将及时发布相关公告。</w:t>
      </w:r>
    </w:p>
    <w:p w:rsidR="00A563D1" w:rsidRDefault="00812934">
      <w:pPr>
        <w:numPr>
          <w:ilvl w:val="0"/>
          <w:numId w:val="2"/>
        </w:numPr>
        <w:spacing w:line="300" w:lineRule="exact"/>
        <w:ind w:left="0" w:firstLine="0"/>
        <w:rPr>
          <w:rFonts w:ascii="微软雅黑" w:eastAsia="微软雅黑" w:hAnsi="微软雅黑"/>
          <w:szCs w:val="21"/>
        </w:rPr>
      </w:pPr>
      <w:r>
        <w:rPr>
          <w:rFonts w:ascii="微软雅黑" w:eastAsia="微软雅黑" w:hAnsi="微软雅黑" w:hint="eastAsia"/>
          <w:szCs w:val="21"/>
        </w:rPr>
        <w:t>投资者需要咨询本理财计划相关信息的，可到珠海华润银行各营业网点咨询，也可致电珠海华润银行24小时客户服务热线4008800338或96588（广东省外请加拨0756）咨询 。</w:t>
      </w:r>
    </w:p>
    <w:sectPr w:rsidR="00A563D1">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07D" w:rsidRDefault="0041507D">
      <w:r>
        <w:separator/>
      </w:r>
    </w:p>
  </w:endnote>
  <w:endnote w:type="continuationSeparator" w:id="0">
    <w:p w:rsidR="0041507D" w:rsidRDefault="0041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3D1" w:rsidRDefault="00812934">
    <w:pPr>
      <w:pStyle w:val="a5"/>
      <w:jc w:val="center"/>
    </w:pPr>
    <w:r>
      <w:rPr>
        <w:lang w:val="zh-CN"/>
      </w:rPr>
      <w:t xml:space="preserve"> </w:t>
    </w:r>
    <w:r>
      <w:rPr>
        <w:b/>
        <w:sz w:val="24"/>
        <w:szCs w:val="24"/>
      </w:rPr>
      <w:fldChar w:fldCharType="begin"/>
    </w:r>
    <w:r>
      <w:rPr>
        <w:b/>
      </w:rPr>
      <w:instrText>PAGE</w:instrText>
    </w:r>
    <w:r>
      <w:rPr>
        <w:b/>
        <w:sz w:val="24"/>
        <w:szCs w:val="24"/>
      </w:rPr>
      <w:fldChar w:fldCharType="separate"/>
    </w:r>
    <w:r w:rsidR="00BB3FD6">
      <w:rPr>
        <w:b/>
        <w:noProof/>
      </w:rPr>
      <w:t>4</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BB3FD6">
      <w:rPr>
        <w:b/>
        <w:noProof/>
      </w:rPr>
      <w:t>4</w:t>
    </w:r>
    <w:r>
      <w:rPr>
        <w:b/>
        <w:sz w:val="24"/>
        <w:szCs w:val="24"/>
      </w:rPr>
      <w:fldChar w:fldCharType="end"/>
    </w:r>
  </w:p>
  <w:p w:rsidR="00A563D1" w:rsidRDefault="00A563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07D" w:rsidRDefault="0041507D">
      <w:r>
        <w:separator/>
      </w:r>
    </w:p>
  </w:footnote>
  <w:footnote w:type="continuationSeparator" w:id="0">
    <w:p w:rsidR="0041507D" w:rsidRDefault="00415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3D1" w:rsidRDefault="00812934">
    <w:pPr>
      <w:pStyle w:val="a6"/>
      <w:jc w:val="left"/>
    </w:pPr>
    <w:r>
      <w:rPr>
        <w:noProof/>
      </w:rPr>
      <w:drawing>
        <wp:inline distT="0" distB="0" distL="0" distR="0">
          <wp:extent cx="1637665" cy="425450"/>
          <wp:effectExtent l="0" t="0" r="635" b="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5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419FE"/>
    <w:multiLevelType w:val="multilevel"/>
    <w:tmpl w:val="364419FE"/>
    <w:lvl w:ilvl="0">
      <w:start w:val="10"/>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7CD8303D"/>
    <w:multiLevelType w:val="multilevel"/>
    <w:tmpl w:val="7CD8303D"/>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221"/>
    <w:rsid w:val="000017EA"/>
    <w:rsid w:val="0000527C"/>
    <w:rsid w:val="00005987"/>
    <w:rsid w:val="00005BC7"/>
    <w:rsid w:val="0000614C"/>
    <w:rsid w:val="00011DD7"/>
    <w:rsid w:val="00016050"/>
    <w:rsid w:val="00016F40"/>
    <w:rsid w:val="00021E44"/>
    <w:rsid w:val="00024F87"/>
    <w:rsid w:val="00025D5E"/>
    <w:rsid w:val="0003012B"/>
    <w:rsid w:val="00030750"/>
    <w:rsid w:val="00031BCC"/>
    <w:rsid w:val="00032992"/>
    <w:rsid w:val="00037EAE"/>
    <w:rsid w:val="00040116"/>
    <w:rsid w:val="0004554E"/>
    <w:rsid w:val="000475E3"/>
    <w:rsid w:val="00051B94"/>
    <w:rsid w:val="00053383"/>
    <w:rsid w:val="00053A83"/>
    <w:rsid w:val="000549A8"/>
    <w:rsid w:val="00054AC7"/>
    <w:rsid w:val="000553FF"/>
    <w:rsid w:val="000579D2"/>
    <w:rsid w:val="000638E4"/>
    <w:rsid w:val="00063D04"/>
    <w:rsid w:val="00065262"/>
    <w:rsid w:val="00065849"/>
    <w:rsid w:val="00065B71"/>
    <w:rsid w:val="0006614E"/>
    <w:rsid w:val="00066222"/>
    <w:rsid w:val="00067841"/>
    <w:rsid w:val="00070E37"/>
    <w:rsid w:val="00071C0D"/>
    <w:rsid w:val="00072E6C"/>
    <w:rsid w:val="000734A9"/>
    <w:rsid w:val="00076687"/>
    <w:rsid w:val="000828FD"/>
    <w:rsid w:val="00084AAE"/>
    <w:rsid w:val="000909C0"/>
    <w:rsid w:val="00091916"/>
    <w:rsid w:val="00092CA5"/>
    <w:rsid w:val="00096232"/>
    <w:rsid w:val="000972FD"/>
    <w:rsid w:val="000A0619"/>
    <w:rsid w:val="000A633A"/>
    <w:rsid w:val="000A6AB3"/>
    <w:rsid w:val="000B07F3"/>
    <w:rsid w:val="000B36E2"/>
    <w:rsid w:val="000B3E00"/>
    <w:rsid w:val="000B6E45"/>
    <w:rsid w:val="000B76ED"/>
    <w:rsid w:val="000B792A"/>
    <w:rsid w:val="000C52B3"/>
    <w:rsid w:val="000C5571"/>
    <w:rsid w:val="000D35C3"/>
    <w:rsid w:val="000E0D3E"/>
    <w:rsid w:val="000E341E"/>
    <w:rsid w:val="000E3A69"/>
    <w:rsid w:val="000E4E25"/>
    <w:rsid w:val="000F237C"/>
    <w:rsid w:val="000F3870"/>
    <w:rsid w:val="00104EA5"/>
    <w:rsid w:val="0011192C"/>
    <w:rsid w:val="0011317E"/>
    <w:rsid w:val="00115A99"/>
    <w:rsid w:val="00121125"/>
    <w:rsid w:val="001235FF"/>
    <w:rsid w:val="00123AEF"/>
    <w:rsid w:val="001261E5"/>
    <w:rsid w:val="0012786A"/>
    <w:rsid w:val="00131968"/>
    <w:rsid w:val="00136694"/>
    <w:rsid w:val="00145D3E"/>
    <w:rsid w:val="001501A2"/>
    <w:rsid w:val="00154979"/>
    <w:rsid w:val="00154B0D"/>
    <w:rsid w:val="00154F10"/>
    <w:rsid w:val="00155E2F"/>
    <w:rsid w:val="0015602F"/>
    <w:rsid w:val="00162229"/>
    <w:rsid w:val="00164B19"/>
    <w:rsid w:val="00166FC8"/>
    <w:rsid w:val="00170BC5"/>
    <w:rsid w:val="001716FB"/>
    <w:rsid w:val="00174C77"/>
    <w:rsid w:val="00181815"/>
    <w:rsid w:val="00183F87"/>
    <w:rsid w:val="00184475"/>
    <w:rsid w:val="00191354"/>
    <w:rsid w:val="00191825"/>
    <w:rsid w:val="00191D91"/>
    <w:rsid w:val="00193864"/>
    <w:rsid w:val="00194F27"/>
    <w:rsid w:val="00195E16"/>
    <w:rsid w:val="001A0492"/>
    <w:rsid w:val="001A47F9"/>
    <w:rsid w:val="001A4F74"/>
    <w:rsid w:val="001A588F"/>
    <w:rsid w:val="001A59F3"/>
    <w:rsid w:val="001A5C27"/>
    <w:rsid w:val="001B0E9A"/>
    <w:rsid w:val="001B0ED0"/>
    <w:rsid w:val="001B28CA"/>
    <w:rsid w:val="001B50A8"/>
    <w:rsid w:val="001B68C2"/>
    <w:rsid w:val="001C0B03"/>
    <w:rsid w:val="001C2647"/>
    <w:rsid w:val="001C3621"/>
    <w:rsid w:val="001C45CF"/>
    <w:rsid w:val="001C5FD5"/>
    <w:rsid w:val="001C6E17"/>
    <w:rsid w:val="001C7393"/>
    <w:rsid w:val="001D6AC4"/>
    <w:rsid w:val="001D74F5"/>
    <w:rsid w:val="001E1A9A"/>
    <w:rsid w:val="001E4D5D"/>
    <w:rsid w:val="001E6943"/>
    <w:rsid w:val="001E7F80"/>
    <w:rsid w:val="001F0234"/>
    <w:rsid w:val="001F12F4"/>
    <w:rsid w:val="001F33DA"/>
    <w:rsid w:val="001F7F3C"/>
    <w:rsid w:val="002000D4"/>
    <w:rsid w:val="00202235"/>
    <w:rsid w:val="002024E6"/>
    <w:rsid w:val="00204181"/>
    <w:rsid w:val="002117F8"/>
    <w:rsid w:val="00212B04"/>
    <w:rsid w:val="002134DB"/>
    <w:rsid w:val="002149AF"/>
    <w:rsid w:val="002172AF"/>
    <w:rsid w:val="002173DF"/>
    <w:rsid w:val="002209CB"/>
    <w:rsid w:val="00224056"/>
    <w:rsid w:val="00230E8B"/>
    <w:rsid w:val="00233A54"/>
    <w:rsid w:val="00236460"/>
    <w:rsid w:val="00240065"/>
    <w:rsid w:val="00241E24"/>
    <w:rsid w:val="00242187"/>
    <w:rsid w:val="00253477"/>
    <w:rsid w:val="00254141"/>
    <w:rsid w:val="00262A56"/>
    <w:rsid w:val="00262B38"/>
    <w:rsid w:val="0026633C"/>
    <w:rsid w:val="0027019B"/>
    <w:rsid w:val="002719E0"/>
    <w:rsid w:val="0027267C"/>
    <w:rsid w:val="002744EC"/>
    <w:rsid w:val="00274646"/>
    <w:rsid w:val="00274EF8"/>
    <w:rsid w:val="00277316"/>
    <w:rsid w:val="00280103"/>
    <w:rsid w:val="00287645"/>
    <w:rsid w:val="00290133"/>
    <w:rsid w:val="002922CE"/>
    <w:rsid w:val="00297998"/>
    <w:rsid w:val="002A07F0"/>
    <w:rsid w:val="002A1168"/>
    <w:rsid w:val="002A1FB2"/>
    <w:rsid w:val="002A2752"/>
    <w:rsid w:val="002A5A03"/>
    <w:rsid w:val="002B0EE7"/>
    <w:rsid w:val="002B24E4"/>
    <w:rsid w:val="002B4686"/>
    <w:rsid w:val="002B4703"/>
    <w:rsid w:val="002B7CE2"/>
    <w:rsid w:val="002C1894"/>
    <w:rsid w:val="002C354F"/>
    <w:rsid w:val="002C42A5"/>
    <w:rsid w:val="002D397B"/>
    <w:rsid w:val="002D54BB"/>
    <w:rsid w:val="002D6641"/>
    <w:rsid w:val="002D6DE3"/>
    <w:rsid w:val="002E21B0"/>
    <w:rsid w:val="002E2247"/>
    <w:rsid w:val="002E55FC"/>
    <w:rsid w:val="002E7A52"/>
    <w:rsid w:val="002F0F81"/>
    <w:rsid w:val="002F1C46"/>
    <w:rsid w:val="002F21DA"/>
    <w:rsid w:val="002F2EA2"/>
    <w:rsid w:val="00303E52"/>
    <w:rsid w:val="00307E86"/>
    <w:rsid w:val="00310FD6"/>
    <w:rsid w:val="003207F4"/>
    <w:rsid w:val="00324EDD"/>
    <w:rsid w:val="00327E89"/>
    <w:rsid w:val="003318A3"/>
    <w:rsid w:val="00332BA4"/>
    <w:rsid w:val="0033399E"/>
    <w:rsid w:val="00334926"/>
    <w:rsid w:val="00335BE3"/>
    <w:rsid w:val="00342435"/>
    <w:rsid w:val="00346470"/>
    <w:rsid w:val="00347F06"/>
    <w:rsid w:val="003508A2"/>
    <w:rsid w:val="00352DB7"/>
    <w:rsid w:val="003569F1"/>
    <w:rsid w:val="003608E2"/>
    <w:rsid w:val="00360DF0"/>
    <w:rsid w:val="00360EF7"/>
    <w:rsid w:val="00363269"/>
    <w:rsid w:val="00363CFE"/>
    <w:rsid w:val="00364A95"/>
    <w:rsid w:val="00367E7E"/>
    <w:rsid w:val="00372373"/>
    <w:rsid w:val="003739AC"/>
    <w:rsid w:val="0037495F"/>
    <w:rsid w:val="00376719"/>
    <w:rsid w:val="00384130"/>
    <w:rsid w:val="003842C5"/>
    <w:rsid w:val="003848A3"/>
    <w:rsid w:val="003849A2"/>
    <w:rsid w:val="00384C22"/>
    <w:rsid w:val="00385068"/>
    <w:rsid w:val="00385136"/>
    <w:rsid w:val="00386171"/>
    <w:rsid w:val="0038726C"/>
    <w:rsid w:val="00396387"/>
    <w:rsid w:val="00396489"/>
    <w:rsid w:val="0039782D"/>
    <w:rsid w:val="003A1418"/>
    <w:rsid w:val="003B051A"/>
    <w:rsid w:val="003B11A5"/>
    <w:rsid w:val="003B5A22"/>
    <w:rsid w:val="003B6CEA"/>
    <w:rsid w:val="003C07BC"/>
    <w:rsid w:val="003C07E6"/>
    <w:rsid w:val="003C2BA5"/>
    <w:rsid w:val="003C5234"/>
    <w:rsid w:val="003C62BB"/>
    <w:rsid w:val="003D069A"/>
    <w:rsid w:val="003D1D8D"/>
    <w:rsid w:val="003D5AAF"/>
    <w:rsid w:val="003E0A7F"/>
    <w:rsid w:val="003E27F4"/>
    <w:rsid w:val="003E6048"/>
    <w:rsid w:val="003F113F"/>
    <w:rsid w:val="003F1BFF"/>
    <w:rsid w:val="003F4FEF"/>
    <w:rsid w:val="003F7FA7"/>
    <w:rsid w:val="004006BB"/>
    <w:rsid w:val="00404D0C"/>
    <w:rsid w:val="00411846"/>
    <w:rsid w:val="00411EB4"/>
    <w:rsid w:val="0041214F"/>
    <w:rsid w:val="004125B9"/>
    <w:rsid w:val="00412F05"/>
    <w:rsid w:val="00414B71"/>
    <w:rsid w:val="0041507D"/>
    <w:rsid w:val="00420FBA"/>
    <w:rsid w:val="004259F5"/>
    <w:rsid w:val="0043219D"/>
    <w:rsid w:val="004378C5"/>
    <w:rsid w:val="00440DC0"/>
    <w:rsid w:val="004411B7"/>
    <w:rsid w:val="0044195D"/>
    <w:rsid w:val="004479FB"/>
    <w:rsid w:val="00452202"/>
    <w:rsid w:val="00452295"/>
    <w:rsid w:val="00457952"/>
    <w:rsid w:val="004604B8"/>
    <w:rsid w:val="00466706"/>
    <w:rsid w:val="0046694F"/>
    <w:rsid w:val="0047054C"/>
    <w:rsid w:val="00474C27"/>
    <w:rsid w:val="004750D5"/>
    <w:rsid w:val="004756E0"/>
    <w:rsid w:val="00482685"/>
    <w:rsid w:val="004826C9"/>
    <w:rsid w:val="004833DE"/>
    <w:rsid w:val="00484610"/>
    <w:rsid w:val="00484CF0"/>
    <w:rsid w:val="00485BDF"/>
    <w:rsid w:val="00485C45"/>
    <w:rsid w:val="004869C7"/>
    <w:rsid w:val="0048773E"/>
    <w:rsid w:val="004946DE"/>
    <w:rsid w:val="00495D3F"/>
    <w:rsid w:val="00496882"/>
    <w:rsid w:val="004A2BF1"/>
    <w:rsid w:val="004A31E4"/>
    <w:rsid w:val="004B06AC"/>
    <w:rsid w:val="004B6AA5"/>
    <w:rsid w:val="004C0A5A"/>
    <w:rsid w:val="004C1BE8"/>
    <w:rsid w:val="004C4DBA"/>
    <w:rsid w:val="004C4FE1"/>
    <w:rsid w:val="004D42F5"/>
    <w:rsid w:val="004D5CB7"/>
    <w:rsid w:val="004D6843"/>
    <w:rsid w:val="004E0106"/>
    <w:rsid w:val="004E19F3"/>
    <w:rsid w:val="004E2E38"/>
    <w:rsid w:val="004E5ADA"/>
    <w:rsid w:val="004E5C43"/>
    <w:rsid w:val="004E5D7C"/>
    <w:rsid w:val="004F5707"/>
    <w:rsid w:val="004F5BFC"/>
    <w:rsid w:val="004F7C11"/>
    <w:rsid w:val="005010B0"/>
    <w:rsid w:val="005036B1"/>
    <w:rsid w:val="00504D8D"/>
    <w:rsid w:val="00505F7D"/>
    <w:rsid w:val="005068A6"/>
    <w:rsid w:val="005134BC"/>
    <w:rsid w:val="005136C0"/>
    <w:rsid w:val="005150CD"/>
    <w:rsid w:val="0051528F"/>
    <w:rsid w:val="00517747"/>
    <w:rsid w:val="005214EE"/>
    <w:rsid w:val="0052274B"/>
    <w:rsid w:val="005242E8"/>
    <w:rsid w:val="0053033B"/>
    <w:rsid w:val="00534DC8"/>
    <w:rsid w:val="00535609"/>
    <w:rsid w:val="00535A5E"/>
    <w:rsid w:val="00537042"/>
    <w:rsid w:val="00543107"/>
    <w:rsid w:val="005512A1"/>
    <w:rsid w:val="0055135D"/>
    <w:rsid w:val="00551A4A"/>
    <w:rsid w:val="00555218"/>
    <w:rsid w:val="005557E2"/>
    <w:rsid w:val="005570D0"/>
    <w:rsid w:val="00561C1A"/>
    <w:rsid w:val="00564DE0"/>
    <w:rsid w:val="00567D66"/>
    <w:rsid w:val="00572137"/>
    <w:rsid w:val="00572247"/>
    <w:rsid w:val="00577794"/>
    <w:rsid w:val="00577E10"/>
    <w:rsid w:val="005831DC"/>
    <w:rsid w:val="00586C4C"/>
    <w:rsid w:val="00586E89"/>
    <w:rsid w:val="00587AAE"/>
    <w:rsid w:val="005946BF"/>
    <w:rsid w:val="00595C65"/>
    <w:rsid w:val="005A7DF9"/>
    <w:rsid w:val="005B108C"/>
    <w:rsid w:val="005B4711"/>
    <w:rsid w:val="005B5377"/>
    <w:rsid w:val="005C2212"/>
    <w:rsid w:val="005C2D9D"/>
    <w:rsid w:val="005C7059"/>
    <w:rsid w:val="005D35CF"/>
    <w:rsid w:val="005D5F9D"/>
    <w:rsid w:val="005F5011"/>
    <w:rsid w:val="00600617"/>
    <w:rsid w:val="0060202F"/>
    <w:rsid w:val="0061037B"/>
    <w:rsid w:val="00612B28"/>
    <w:rsid w:val="00620A16"/>
    <w:rsid w:val="00622CC8"/>
    <w:rsid w:val="00624DF2"/>
    <w:rsid w:val="00625168"/>
    <w:rsid w:val="00625C6D"/>
    <w:rsid w:val="00633D6F"/>
    <w:rsid w:val="00635350"/>
    <w:rsid w:val="00640919"/>
    <w:rsid w:val="00640BFE"/>
    <w:rsid w:val="00644AF3"/>
    <w:rsid w:val="00645DFE"/>
    <w:rsid w:val="00646064"/>
    <w:rsid w:val="006469BE"/>
    <w:rsid w:val="006507C5"/>
    <w:rsid w:val="0065257B"/>
    <w:rsid w:val="00655F50"/>
    <w:rsid w:val="006560E6"/>
    <w:rsid w:val="006609EE"/>
    <w:rsid w:val="0066172C"/>
    <w:rsid w:val="00661EC5"/>
    <w:rsid w:val="0066686C"/>
    <w:rsid w:val="00666EA6"/>
    <w:rsid w:val="00667D20"/>
    <w:rsid w:val="006702F0"/>
    <w:rsid w:val="00672307"/>
    <w:rsid w:val="0067287B"/>
    <w:rsid w:val="0067603D"/>
    <w:rsid w:val="00676C42"/>
    <w:rsid w:val="00677755"/>
    <w:rsid w:val="00677CF0"/>
    <w:rsid w:val="00677DF6"/>
    <w:rsid w:val="006812A9"/>
    <w:rsid w:val="00690A05"/>
    <w:rsid w:val="00690C5E"/>
    <w:rsid w:val="00691756"/>
    <w:rsid w:val="00694BDA"/>
    <w:rsid w:val="0069509C"/>
    <w:rsid w:val="006963C9"/>
    <w:rsid w:val="00696D75"/>
    <w:rsid w:val="006A2D6F"/>
    <w:rsid w:val="006B02C4"/>
    <w:rsid w:val="006B1E45"/>
    <w:rsid w:val="006B2A69"/>
    <w:rsid w:val="006C1526"/>
    <w:rsid w:val="006C4027"/>
    <w:rsid w:val="006C6378"/>
    <w:rsid w:val="006C72C9"/>
    <w:rsid w:val="006D0FAE"/>
    <w:rsid w:val="006D0FBE"/>
    <w:rsid w:val="006D1B58"/>
    <w:rsid w:val="006D3153"/>
    <w:rsid w:val="006D5C42"/>
    <w:rsid w:val="006D5D22"/>
    <w:rsid w:val="006D7EC1"/>
    <w:rsid w:val="006E252C"/>
    <w:rsid w:val="006E2F0D"/>
    <w:rsid w:val="006E51BE"/>
    <w:rsid w:val="006E7553"/>
    <w:rsid w:val="006F28DC"/>
    <w:rsid w:val="00700BF4"/>
    <w:rsid w:val="00701327"/>
    <w:rsid w:val="00705AA3"/>
    <w:rsid w:val="00705CBB"/>
    <w:rsid w:val="00706E05"/>
    <w:rsid w:val="00711311"/>
    <w:rsid w:val="00712C8B"/>
    <w:rsid w:val="00713AF7"/>
    <w:rsid w:val="00713C79"/>
    <w:rsid w:val="00714B92"/>
    <w:rsid w:val="00714BAD"/>
    <w:rsid w:val="00714E00"/>
    <w:rsid w:val="007221CD"/>
    <w:rsid w:val="00722B42"/>
    <w:rsid w:val="0072454F"/>
    <w:rsid w:val="0072542E"/>
    <w:rsid w:val="00731404"/>
    <w:rsid w:val="007314E5"/>
    <w:rsid w:val="007325CB"/>
    <w:rsid w:val="00734A0C"/>
    <w:rsid w:val="00746301"/>
    <w:rsid w:val="007478C6"/>
    <w:rsid w:val="00747FB6"/>
    <w:rsid w:val="00750C0E"/>
    <w:rsid w:val="0075281A"/>
    <w:rsid w:val="007544C9"/>
    <w:rsid w:val="00765673"/>
    <w:rsid w:val="00766B8A"/>
    <w:rsid w:val="007676BD"/>
    <w:rsid w:val="00770C9C"/>
    <w:rsid w:val="00771481"/>
    <w:rsid w:val="00776373"/>
    <w:rsid w:val="00786A26"/>
    <w:rsid w:val="00787553"/>
    <w:rsid w:val="00790830"/>
    <w:rsid w:val="00796EF8"/>
    <w:rsid w:val="007A08C7"/>
    <w:rsid w:val="007A3210"/>
    <w:rsid w:val="007A48DC"/>
    <w:rsid w:val="007A4F97"/>
    <w:rsid w:val="007A528F"/>
    <w:rsid w:val="007A556B"/>
    <w:rsid w:val="007A7ACE"/>
    <w:rsid w:val="007B27EF"/>
    <w:rsid w:val="007B468B"/>
    <w:rsid w:val="007B7E70"/>
    <w:rsid w:val="007C0AD0"/>
    <w:rsid w:val="007C415C"/>
    <w:rsid w:val="007D1D48"/>
    <w:rsid w:val="007D4023"/>
    <w:rsid w:val="007D7B88"/>
    <w:rsid w:val="007E19E7"/>
    <w:rsid w:val="007E1A85"/>
    <w:rsid w:val="007E3A52"/>
    <w:rsid w:val="007E68A2"/>
    <w:rsid w:val="007F455F"/>
    <w:rsid w:val="008002B9"/>
    <w:rsid w:val="00805D87"/>
    <w:rsid w:val="00806F6D"/>
    <w:rsid w:val="00807587"/>
    <w:rsid w:val="00807F65"/>
    <w:rsid w:val="00812934"/>
    <w:rsid w:val="0081326F"/>
    <w:rsid w:val="008146FB"/>
    <w:rsid w:val="00815324"/>
    <w:rsid w:val="00820DCB"/>
    <w:rsid w:val="00823608"/>
    <w:rsid w:val="008259EC"/>
    <w:rsid w:val="00827AB5"/>
    <w:rsid w:val="00830AC6"/>
    <w:rsid w:val="008336CC"/>
    <w:rsid w:val="008336DD"/>
    <w:rsid w:val="00833B1E"/>
    <w:rsid w:val="00843075"/>
    <w:rsid w:val="00845DCC"/>
    <w:rsid w:val="00850084"/>
    <w:rsid w:val="008501B1"/>
    <w:rsid w:val="008539A5"/>
    <w:rsid w:val="00853D70"/>
    <w:rsid w:val="00855BB7"/>
    <w:rsid w:val="00862ACC"/>
    <w:rsid w:val="008667D5"/>
    <w:rsid w:val="008707C9"/>
    <w:rsid w:val="00871DD3"/>
    <w:rsid w:val="00873A51"/>
    <w:rsid w:val="00874954"/>
    <w:rsid w:val="00876ED2"/>
    <w:rsid w:val="008778CB"/>
    <w:rsid w:val="00880F38"/>
    <w:rsid w:val="008835C4"/>
    <w:rsid w:val="008840DF"/>
    <w:rsid w:val="0088571D"/>
    <w:rsid w:val="00885959"/>
    <w:rsid w:val="00887E84"/>
    <w:rsid w:val="0089488B"/>
    <w:rsid w:val="00895221"/>
    <w:rsid w:val="00895808"/>
    <w:rsid w:val="0089612F"/>
    <w:rsid w:val="008962F0"/>
    <w:rsid w:val="008A0CF1"/>
    <w:rsid w:val="008A102F"/>
    <w:rsid w:val="008A42AE"/>
    <w:rsid w:val="008A676C"/>
    <w:rsid w:val="008A7D8A"/>
    <w:rsid w:val="008B3DC4"/>
    <w:rsid w:val="008C121A"/>
    <w:rsid w:val="008C24EF"/>
    <w:rsid w:val="008C2DAF"/>
    <w:rsid w:val="008C42CD"/>
    <w:rsid w:val="008C7C91"/>
    <w:rsid w:val="008D046F"/>
    <w:rsid w:val="008D380C"/>
    <w:rsid w:val="008E18AE"/>
    <w:rsid w:val="008E21BA"/>
    <w:rsid w:val="008E4EB7"/>
    <w:rsid w:val="008E507A"/>
    <w:rsid w:val="008E74E5"/>
    <w:rsid w:val="008F0600"/>
    <w:rsid w:val="008F1317"/>
    <w:rsid w:val="008F4811"/>
    <w:rsid w:val="008F75EB"/>
    <w:rsid w:val="00901552"/>
    <w:rsid w:val="009027E3"/>
    <w:rsid w:val="009102C0"/>
    <w:rsid w:val="00915A9E"/>
    <w:rsid w:val="009200DC"/>
    <w:rsid w:val="009222AB"/>
    <w:rsid w:val="0093038F"/>
    <w:rsid w:val="00932439"/>
    <w:rsid w:val="009403B6"/>
    <w:rsid w:val="009431A8"/>
    <w:rsid w:val="0094593A"/>
    <w:rsid w:val="00945B7D"/>
    <w:rsid w:val="00947651"/>
    <w:rsid w:val="00950277"/>
    <w:rsid w:val="00950BEF"/>
    <w:rsid w:val="00950C13"/>
    <w:rsid w:val="00951DD0"/>
    <w:rsid w:val="00953CEC"/>
    <w:rsid w:val="00957372"/>
    <w:rsid w:val="00960DE3"/>
    <w:rsid w:val="00963153"/>
    <w:rsid w:val="00964ADD"/>
    <w:rsid w:val="00965491"/>
    <w:rsid w:val="00974923"/>
    <w:rsid w:val="00976771"/>
    <w:rsid w:val="009811CD"/>
    <w:rsid w:val="00982420"/>
    <w:rsid w:val="00986D03"/>
    <w:rsid w:val="00990D4E"/>
    <w:rsid w:val="0099494E"/>
    <w:rsid w:val="009A14A0"/>
    <w:rsid w:val="009A1738"/>
    <w:rsid w:val="009A197F"/>
    <w:rsid w:val="009A48EB"/>
    <w:rsid w:val="009A4F9B"/>
    <w:rsid w:val="009A5513"/>
    <w:rsid w:val="009B0716"/>
    <w:rsid w:val="009B08A9"/>
    <w:rsid w:val="009B2430"/>
    <w:rsid w:val="009B3E79"/>
    <w:rsid w:val="009B3F22"/>
    <w:rsid w:val="009B4FAD"/>
    <w:rsid w:val="009B6572"/>
    <w:rsid w:val="009B65F8"/>
    <w:rsid w:val="009B6CF1"/>
    <w:rsid w:val="009B7AC5"/>
    <w:rsid w:val="009C2BF8"/>
    <w:rsid w:val="009D6A12"/>
    <w:rsid w:val="009D737A"/>
    <w:rsid w:val="009E066E"/>
    <w:rsid w:val="009E0D7F"/>
    <w:rsid w:val="009E0EFD"/>
    <w:rsid w:val="009E18A3"/>
    <w:rsid w:val="009E3E35"/>
    <w:rsid w:val="009E5E6D"/>
    <w:rsid w:val="009E7224"/>
    <w:rsid w:val="009F0670"/>
    <w:rsid w:val="009F27AF"/>
    <w:rsid w:val="00A00F7F"/>
    <w:rsid w:val="00A03371"/>
    <w:rsid w:val="00A03813"/>
    <w:rsid w:val="00A042AE"/>
    <w:rsid w:val="00A05541"/>
    <w:rsid w:val="00A07523"/>
    <w:rsid w:val="00A12039"/>
    <w:rsid w:val="00A12315"/>
    <w:rsid w:val="00A12345"/>
    <w:rsid w:val="00A13402"/>
    <w:rsid w:val="00A170C6"/>
    <w:rsid w:val="00A21C97"/>
    <w:rsid w:val="00A22A24"/>
    <w:rsid w:val="00A236B3"/>
    <w:rsid w:val="00A300C9"/>
    <w:rsid w:val="00A3157B"/>
    <w:rsid w:val="00A32D30"/>
    <w:rsid w:val="00A36FB3"/>
    <w:rsid w:val="00A37719"/>
    <w:rsid w:val="00A40A31"/>
    <w:rsid w:val="00A417DC"/>
    <w:rsid w:val="00A43E56"/>
    <w:rsid w:val="00A47832"/>
    <w:rsid w:val="00A5407E"/>
    <w:rsid w:val="00A54ED0"/>
    <w:rsid w:val="00A563D1"/>
    <w:rsid w:val="00A56872"/>
    <w:rsid w:val="00A57169"/>
    <w:rsid w:val="00A81336"/>
    <w:rsid w:val="00A81365"/>
    <w:rsid w:val="00A81565"/>
    <w:rsid w:val="00A82F4C"/>
    <w:rsid w:val="00A848A5"/>
    <w:rsid w:val="00A86F68"/>
    <w:rsid w:val="00A902F1"/>
    <w:rsid w:val="00A9384B"/>
    <w:rsid w:val="00A95312"/>
    <w:rsid w:val="00A962F9"/>
    <w:rsid w:val="00A96E4D"/>
    <w:rsid w:val="00A96E5B"/>
    <w:rsid w:val="00AA0BAE"/>
    <w:rsid w:val="00AA1184"/>
    <w:rsid w:val="00AA1831"/>
    <w:rsid w:val="00AA38E3"/>
    <w:rsid w:val="00AA64A5"/>
    <w:rsid w:val="00AA67FC"/>
    <w:rsid w:val="00AA7456"/>
    <w:rsid w:val="00AB10AF"/>
    <w:rsid w:val="00AB315E"/>
    <w:rsid w:val="00AB65EC"/>
    <w:rsid w:val="00AB689F"/>
    <w:rsid w:val="00AC1681"/>
    <w:rsid w:val="00AC697C"/>
    <w:rsid w:val="00AC6F8F"/>
    <w:rsid w:val="00AD3B45"/>
    <w:rsid w:val="00AD45A6"/>
    <w:rsid w:val="00AE05CB"/>
    <w:rsid w:val="00AE1D22"/>
    <w:rsid w:val="00AE2E9C"/>
    <w:rsid w:val="00AE322A"/>
    <w:rsid w:val="00AE4582"/>
    <w:rsid w:val="00AE5AD1"/>
    <w:rsid w:val="00AF099E"/>
    <w:rsid w:val="00AF0FB6"/>
    <w:rsid w:val="00AF4372"/>
    <w:rsid w:val="00AF518F"/>
    <w:rsid w:val="00AF583C"/>
    <w:rsid w:val="00B03A7E"/>
    <w:rsid w:val="00B0478A"/>
    <w:rsid w:val="00B119FC"/>
    <w:rsid w:val="00B13AA7"/>
    <w:rsid w:val="00B141D0"/>
    <w:rsid w:val="00B17F8C"/>
    <w:rsid w:val="00B22D9E"/>
    <w:rsid w:val="00B245A0"/>
    <w:rsid w:val="00B26EEC"/>
    <w:rsid w:val="00B33290"/>
    <w:rsid w:val="00B34E10"/>
    <w:rsid w:val="00B3702B"/>
    <w:rsid w:val="00B40B20"/>
    <w:rsid w:val="00B421DC"/>
    <w:rsid w:val="00B42AD2"/>
    <w:rsid w:val="00B42C1C"/>
    <w:rsid w:val="00B5007F"/>
    <w:rsid w:val="00B51CC9"/>
    <w:rsid w:val="00B54589"/>
    <w:rsid w:val="00B566AB"/>
    <w:rsid w:val="00B60D01"/>
    <w:rsid w:val="00B633C2"/>
    <w:rsid w:val="00B65997"/>
    <w:rsid w:val="00B66E9A"/>
    <w:rsid w:val="00B73CA0"/>
    <w:rsid w:val="00B75392"/>
    <w:rsid w:val="00B76B89"/>
    <w:rsid w:val="00B830A4"/>
    <w:rsid w:val="00B83270"/>
    <w:rsid w:val="00B83ADE"/>
    <w:rsid w:val="00B84AA4"/>
    <w:rsid w:val="00B84C6A"/>
    <w:rsid w:val="00B85CC1"/>
    <w:rsid w:val="00B86167"/>
    <w:rsid w:val="00B86EE6"/>
    <w:rsid w:val="00B94DA7"/>
    <w:rsid w:val="00B96687"/>
    <w:rsid w:val="00B9692C"/>
    <w:rsid w:val="00BA4346"/>
    <w:rsid w:val="00BA5809"/>
    <w:rsid w:val="00BB2F59"/>
    <w:rsid w:val="00BB3167"/>
    <w:rsid w:val="00BB365E"/>
    <w:rsid w:val="00BB3FD6"/>
    <w:rsid w:val="00BB55D7"/>
    <w:rsid w:val="00BB668F"/>
    <w:rsid w:val="00BC06F2"/>
    <w:rsid w:val="00BC4EE4"/>
    <w:rsid w:val="00BD125B"/>
    <w:rsid w:val="00BD1712"/>
    <w:rsid w:val="00BD3395"/>
    <w:rsid w:val="00BD6343"/>
    <w:rsid w:val="00BD7E42"/>
    <w:rsid w:val="00BF380F"/>
    <w:rsid w:val="00BF54E3"/>
    <w:rsid w:val="00BF5EE2"/>
    <w:rsid w:val="00BF615E"/>
    <w:rsid w:val="00C0079F"/>
    <w:rsid w:val="00C13630"/>
    <w:rsid w:val="00C13BDF"/>
    <w:rsid w:val="00C15E3C"/>
    <w:rsid w:val="00C16E08"/>
    <w:rsid w:val="00C1719B"/>
    <w:rsid w:val="00C17A57"/>
    <w:rsid w:val="00C17D50"/>
    <w:rsid w:val="00C202D3"/>
    <w:rsid w:val="00C20FFE"/>
    <w:rsid w:val="00C228F6"/>
    <w:rsid w:val="00C3231F"/>
    <w:rsid w:val="00C33472"/>
    <w:rsid w:val="00C335E7"/>
    <w:rsid w:val="00C4539C"/>
    <w:rsid w:val="00C45DEB"/>
    <w:rsid w:val="00C52F87"/>
    <w:rsid w:val="00C549F8"/>
    <w:rsid w:val="00C5535B"/>
    <w:rsid w:val="00C57ED0"/>
    <w:rsid w:val="00C60311"/>
    <w:rsid w:val="00C62951"/>
    <w:rsid w:val="00C63B3D"/>
    <w:rsid w:val="00C64B4F"/>
    <w:rsid w:val="00C66FD1"/>
    <w:rsid w:val="00C764DB"/>
    <w:rsid w:val="00C81D31"/>
    <w:rsid w:val="00C8217E"/>
    <w:rsid w:val="00C836A0"/>
    <w:rsid w:val="00C8468F"/>
    <w:rsid w:val="00C85C3D"/>
    <w:rsid w:val="00C8655E"/>
    <w:rsid w:val="00C92007"/>
    <w:rsid w:val="00C95607"/>
    <w:rsid w:val="00C96AE4"/>
    <w:rsid w:val="00CA20ED"/>
    <w:rsid w:val="00CA6578"/>
    <w:rsid w:val="00CB0583"/>
    <w:rsid w:val="00CB0F8C"/>
    <w:rsid w:val="00CB10D8"/>
    <w:rsid w:val="00CB42DF"/>
    <w:rsid w:val="00CB68FE"/>
    <w:rsid w:val="00CC0586"/>
    <w:rsid w:val="00CC23CE"/>
    <w:rsid w:val="00CC2F1D"/>
    <w:rsid w:val="00CC4A92"/>
    <w:rsid w:val="00CC7170"/>
    <w:rsid w:val="00CC7940"/>
    <w:rsid w:val="00CD056F"/>
    <w:rsid w:val="00CD4709"/>
    <w:rsid w:val="00CD55BF"/>
    <w:rsid w:val="00CD60B5"/>
    <w:rsid w:val="00CE0B59"/>
    <w:rsid w:val="00CE4089"/>
    <w:rsid w:val="00CE44AB"/>
    <w:rsid w:val="00CE5481"/>
    <w:rsid w:val="00CE692D"/>
    <w:rsid w:val="00CE7019"/>
    <w:rsid w:val="00CE77F0"/>
    <w:rsid w:val="00CF0D1A"/>
    <w:rsid w:val="00CF127E"/>
    <w:rsid w:val="00CF1409"/>
    <w:rsid w:val="00CF7466"/>
    <w:rsid w:val="00D01D19"/>
    <w:rsid w:val="00D0325B"/>
    <w:rsid w:val="00D05494"/>
    <w:rsid w:val="00D11076"/>
    <w:rsid w:val="00D13679"/>
    <w:rsid w:val="00D13F48"/>
    <w:rsid w:val="00D206B6"/>
    <w:rsid w:val="00D222DC"/>
    <w:rsid w:val="00D23901"/>
    <w:rsid w:val="00D2488A"/>
    <w:rsid w:val="00D267AF"/>
    <w:rsid w:val="00D272A5"/>
    <w:rsid w:val="00D300B2"/>
    <w:rsid w:val="00D30D1F"/>
    <w:rsid w:val="00D317A9"/>
    <w:rsid w:val="00D3201D"/>
    <w:rsid w:val="00D3262A"/>
    <w:rsid w:val="00D43B0E"/>
    <w:rsid w:val="00D448AE"/>
    <w:rsid w:val="00D44EB4"/>
    <w:rsid w:val="00D46319"/>
    <w:rsid w:val="00D51687"/>
    <w:rsid w:val="00D600FC"/>
    <w:rsid w:val="00D63B88"/>
    <w:rsid w:val="00D6562D"/>
    <w:rsid w:val="00D67469"/>
    <w:rsid w:val="00D70B5C"/>
    <w:rsid w:val="00D756AF"/>
    <w:rsid w:val="00D77F9C"/>
    <w:rsid w:val="00D81907"/>
    <w:rsid w:val="00D81AD6"/>
    <w:rsid w:val="00D82EF1"/>
    <w:rsid w:val="00D8346E"/>
    <w:rsid w:val="00D83F1B"/>
    <w:rsid w:val="00D8591A"/>
    <w:rsid w:val="00D8632C"/>
    <w:rsid w:val="00D92C54"/>
    <w:rsid w:val="00D939D0"/>
    <w:rsid w:val="00D94B12"/>
    <w:rsid w:val="00D9658B"/>
    <w:rsid w:val="00DA0966"/>
    <w:rsid w:val="00DA0B4D"/>
    <w:rsid w:val="00DA14FF"/>
    <w:rsid w:val="00DA3726"/>
    <w:rsid w:val="00DA3BC5"/>
    <w:rsid w:val="00DA7985"/>
    <w:rsid w:val="00DB0357"/>
    <w:rsid w:val="00DB1F08"/>
    <w:rsid w:val="00DB2E4B"/>
    <w:rsid w:val="00DB4C04"/>
    <w:rsid w:val="00DB5C7C"/>
    <w:rsid w:val="00DB6AE2"/>
    <w:rsid w:val="00DC0416"/>
    <w:rsid w:val="00DC0644"/>
    <w:rsid w:val="00DC2FD9"/>
    <w:rsid w:val="00DC35D1"/>
    <w:rsid w:val="00DC4512"/>
    <w:rsid w:val="00DC4A00"/>
    <w:rsid w:val="00DC7885"/>
    <w:rsid w:val="00DD095B"/>
    <w:rsid w:val="00DD1663"/>
    <w:rsid w:val="00DD50B5"/>
    <w:rsid w:val="00DE092C"/>
    <w:rsid w:val="00DE14DB"/>
    <w:rsid w:val="00DE1A27"/>
    <w:rsid w:val="00DE26A1"/>
    <w:rsid w:val="00DE3E6A"/>
    <w:rsid w:val="00DE4779"/>
    <w:rsid w:val="00DE5010"/>
    <w:rsid w:val="00DE698F"/>
    <w:rsid w:val="00DE72CF"/>
    <w:rsid w:val="00DF3E97"/>
    <w:rsid w:val="00DF50DF"/>
    <w:rsid w:val="00E00F96"/>
    <w:rsid w:val="00E01554"/>
    <w:rsid w:val="00E01906"/>
    <w:rsid w:val="00E0566F"/>
    <w:rsid w:val="00E05974"/>
    <w:rsid w:val="00E062CC"/>
    <w:rsid w:val="00E0642F"/>
    <w:rsid w:val="00E06C29"/>
    <w:rsid w:val="00E077CA"/>
    <w:rsid w:val="00E10F8E"/>
    <w:rsid w:val="00E11C22"/>
    <w:rsid w:val="00E127D4"/>
    <w:rsid w:val="00E13A91"/>
    <w:rsid w:val="00E145E7"/>
    <w:rsid w:val="00E16690"/>
    <w:rsid w:val="00E16845"/>
    <w:rsid w:val="00E17511"/>
    <w:rsid w:val="00E208C3"/>
    <w:rsid w:val="00E21275"/>
    <w:rsid w:val="00E21E5F"/>
    <w:rsid w:val="00E22E07"/>
    <w:rsid w:val="00E23575"/>
    <w:rsid w:val="00E24C10"/>
    <w:rsid w:val="00E313F3"/>
    <w:rsid w:val="00E327F7"/>
    <w:rsid w:val="00E35A6C"/>
    <w:rsid w:val="00E420A8"/>
    <w:rsid w:val="00E420E8"/>
    <w:rsid w:val="00E460A1"/>
    <w:rsid w:val="00E47878"/>
    <w:rsid w:val="00E52671"/>
    <w:rsid w:val="00E542C8"/>
    <w:rsid w:val="00E56AB8"/>
    <w:rsid w:val="00E56EC1"/>
    <w:rsid w:val="00E5758D"/>
    <w:rsid w:val="00E60163"/>
    <w:rsid w:val="00E619D6"/>
    <w:rsid w:val="00E63D52"/>
    <w:rsid w:val="00E66673"/>
    <w:rsid w:val="00E66D0F"/>
    <w:rsid w:val="00E676B6"/>
    <w:rsid w:val="00E71759"/>
    <w:rsid w:val="00E74791"/>
    <w:rsid w:val="00E74905"/>
    <w:rsid w:val="00E749B6"/>
    <w:rsid w:val="00E7559E"/>
    <w:rsid w:val="00E773E2"/>
    <w:rsid w:val="00E77B33"/>
    <w:rsid w:val="00E811B9"/>
    <w:rsid w:val="00E82C1A"/>
    <w:rsid w:val="00E83710"/>
    <w:rsid w:val="00E91E49"/>
    <w:rsid w:val="00E95F65"/>
    <w:rsid w:val="00E96E4E"/>
    <w:rsid w:val="00E97672"/>
    <w:rsid w:val="00E97BDA"/>
    <w:rsid w:val="00EA054F"/>
    <w:rsid w:val="00EA4EFB"/>
    <w:rsid w:val="00EB1121"/>
    <w:rsid w:val="00EB50BE"/>
    <w:rsid w:val="00EB6A9B"/>
    <w:rsid w:val="00EC1A8B"/>
    <w:rsid w:val="00EC3689"/>
    <w:rsid w:val="00EC3922"/>
    <w:rsid w:val="00EC4C93"/>
    <w:rsid w:val="00EC4DB6"/>
    <w:rsid w:val="00ED0201"/>
    <w:rsid w:val="00ED1CF3"/>
    <w:rsid w:val="00ED30EB"/>
    <w:rsid w:val="00ED34B2"/>
    <w:rsid w:val="00EE036E"/>
    <w:rsid w:val="00EE15B0"/>
    <w:rsid w:val="00EE4679"/>
    <w:rsid w:val="00EF2A77"/>
    <w:rsid w:val="00EF4E53"/>
    <w:rsid w:val="00EF7377"/>
    <w:rsid w:val="00F042D5"/>
    <w:rsid w:val="00F132A3"/>
    <w:rsid w:val="00F13851"/>
    <w:rsid w:val="00F16D1E"/>
    <w:rsid w:val="00F1703C"/>
    <w:rsid w:val="00F17B2B"/>
    <w:rsid w:val="00F224AA"/>
    <w:rsid w:val="00F26872"/>
    <w:rsid w:val="00F27CE0"/>
    <w:rsid w:val="00F3392A"/>
    <w:rsid w:val="00F373B6"/>
    <w:rsid w:val="00F407B8"/>
    <w:rsid w:val="00F41F1B"/>
    <w:rsid w:val="00F437EC"/>
    <w:rsid w:val="00F43E83"/>
    <w:rsid w:val="00F43F5F"/>
    <w:rsid w:val="00F45A6D"/>
    <w:rsid w:val="00F470FD"/>
    <w:rsid w:val="00F517F8"/>
    <w:rsid w:val="00F53353"/>
    <w:rsid w:val="00F555EE"/>
    <w:rsid w:val="00F57FB5"/>
    <w:rsid w:val="00F614DC"/>
    <w:rsid w:val="00F71594"/>
    <w:rsid w:val="00F71F71"/>
    <w:rsid w:val="00F7415D"/>
    <w:rsid w:val="00F7453A"/>
    <w:rsid w:val="00F74D91"/>
    <w:rsid w:val="00F75280"/>
    <w:rsid w:val="00F75A0D"/>
    <w:rsid w:val="00F81ADD"/>
    <w:rsid w:val="00F83137"/>
    <w:rsid w:val="00F83399"/>
    <w:rsid w:val="00F83B7A"/>
    <w:rsid w:val="00F84223"/>
    <w:rsid w:val="00F90540"/>
    <w:rsid w:val="00F9276F"/>
    <w:rsid w:val="00F943A4"/>
    <w:rsid w:val="00F9467A"/>
    <w:rsid w:val="00F95166"/>
    <w:rsid w:val="00F95719"/>
    <w:rsid w:val="00F96C08"/>
    <w:rsid w:val="00FA0A14"/>
    <w:rsid w:val="00FA1DAC"/>
    <w:rsid w:val="00FA300B"/>
    <w:rsid w:val="00FA4601"/>
    <w:rsid w:val="00FB0C76"/>
    <w:rsid w:val="00FB1A93"/>
    <w:rsid w:val="00FB2A06"/>
    <w:rsid w:val="00FB3011"/>
    <w:rsid w:val="00FB3D78"/>
    <w:rsid w:val="00FB4A72"/>
    <w:rsid w:val="00FB548D"/>
    <w:rsid w:val="00FB7DED"/>
    <w:rsid w:val="00FC178E"/>
    <w:rsid w:val="00FC24FD"/>
    <w:rsid w:val="00FC33CF"/>
    <w:rsid w:val="00FC4EDA"/>
    <w:rsid w:val="00FC7206"/>
    <w:rsid w:val="00FC741B"/>
    <w:rsid w:val="00FD0FB3"/>
    <w:rsid w:val="00FD1955"/>
    <w:rsid w:val="00FF3AE3"/>
    <w:rsid w:val="00FF4361"/>
    <w:rsid w:val="00FF7BB0"/>
    <w:rsid w:val="00FF7DF6"/>
    <w:rsid w:val="01D8571C"/>
    <w:rsid w:val="1B8C464D"/>
    <w:rsid w:val="479E0F8B"/>
    <w:rsid w:val="504A4CCA"/>
    <w:rsid w:val="563138A3"/>
    <w:rsid w:val="57E11C66"/>
    <w:rsid w:val="6C8F2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a">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kern w:val="2"/>
      <w:sz w:val="18"/>
      <w:szCs w:val="18"/>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character" w:customStyle="1" w:styleId="Char">
    <w:name w:val="批注文字 Char"/>
    <w:basedOn w:val="a0"/>
    <w:link w:val="a3"/>
    <w:uiPriority w:val="99"/>
    <w:semiHidden/>
    <w:qFormat/>
    <w:rPr>
      <w:kern w:val="2"/>
      <w:sz w:val="21"/>
      <w:szCs w:val="22"/>
    </w:rPr>
  </w:style>
  <w:style w:type="character" w:customStyle="1" w:styleId="Char3">
    <w:name w:val="批注主题 Char"/>
    <w:basedOn w:val="Char"/>
    <w:link w:val="a7"/>
    <w:uiPriority w:val="99"/>
    <w:semiHidden/>
    <w:qFormat/>
    <w:rPr>
      <w:b/>
      <w:bCs/>
      <w:kern w:val="2"/>
      <w:sz w:val="21"/>
      <w:szCs w:val="22"/>
    </w:rPr>
  </w:style>
  <w:style w:type="character" w:customStyle="1" w:styleId="g1">
    <w:name w:val="g1"/>
    <w:basedOn w:val="a0"/>
    <w:qFormat/>
    <w:rPr>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a">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kern w:val="2"/>
      <w:sz w:val="18"/>
      <w:szCs w:val="18"/>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character" w:customStyle="1" w:styleId="Char">
    <w:name w:val="批注文字 Char"/>
    <w:basedOn w:val="a0"/>
    <w:link w:val="a3"/>
    <w:uiPriority w:val="99"/>
    <w:semiHidden/>
    <w:qFormat/>
    <w:rPr>
      <w:kern w:val="2"/>
      <w:sz w:val="21"/>
      <w:szCs w:val="22"/>
    </w:rPr>
  </w:style>
  <w:style w:type="character" w:customStyle="1" w:styleId="Char3">
    <w:name w:val="批注主题 Char"/>
    <w:basedOn w:val="Char"/>
    <w:link w:val="a7"/>
    <w:uiPriority w:val="99"/>
    <w:semiHidden/>
    <w:qFormat/>
    <w:rPr>
      <w:b/>
      <w:bCs/>
      <w:kern w:val="2"/>
      <w:sz w:val="21"/>
      <w:szCs w:val="22"/>
    </w:rPr>
  </w:style>
  <w:style w:type="character" w:customStyle="1" w:styleId="g1">
    <w:name w:val="g1"/>
    <w:basedOn w:val="a0"/>
    <w:qFormat/>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803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E42C80-DD34-4561-9CF4-22326E7CD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707</Words>
  <Characters>4036</Characters>
  <Application>Microsoft Office Word</Application>
  <DocSecurity>0</DocSecurity>
  <Lines>33</Lines>
  <Paragraphs>9</Paragraphs>
  <ScaleCrop>false</ScaleCrop>
  <Company>Chinese ORG</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任鸿翔/个人金融部/总行/CRbank</dc:creator>
  <cp:lastModifiedBy>李容露</cp:lastModifiedBy>
  <cp:revision>5</cp:revision>
  <cp:lastPrinted>2011-09-27T00:58:00Z</cp:lastPrinted>
  <dcterms:created xsi:type="dcterms:W3CDTF">2021-01-05T03:02:00Z</dcterms:created>
  <dcterms:modified xsi:type="dcterms:W3CDTF">2021-01-12T02:11:00Z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