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B19" w:rsidRDefault="004C7FCF">
      <w:pPr>
        <w:jc w:val="center"/>
        <w:rPr>
          <w:rFonts w:ascii="微软雅黑" w:eastAsia="微软雅黑" w:hAnsi="微软雅黑"/>
          <w:b/>
          <w:bCs/>
          <w:sz w:val="32"/>
          <w:szCs w:val="32"/>
        </w:rPr>
      </w:pPr>
      <w:r>
        <w:rPr>
          <w:rFonts w:ascii="微软雅黑" w:eastAsia="微软雅黑" w:hAnsi="微软雅黑" w:cs="微软雅黑" w:hint="eastAsia"/>
          <w:b/>
          <w:bCs/>
          <w:sz w:val="32"/>
          <w:szCs w:val="32"/>
        </w:rPr>
        <w:t>珠海华润银行润日升理财产品</w:t>
      </w:r>
      <w:r>
        <w:rPr>
          <w:rFonts w:ascii="微软雅黑" w:eastAsia="微软雅黑" w:hAnsi="微软雅黑" w:cs="微软雅黑" w:hint="eastAsia"/>
          <w:b/>
          <w:bCs/>
          <w:sz w:val="32"/>
          <w:szCs w:val="32"/>
        </w:rPr>
        <w:t xml:space="preserve"> </w:t>
      </w:r>
    </w:p>
    <w:p w:rsidR="00591B19" w:rsidRDefault="004C7FCF">
      <w:pPr>
        <w:rPr>
          <w:rFonts w:ascii="微软雅黑" w:eastAsia="微软雅黑" w:hAnsi="微软雅黑"/>
          <w:b/>
          <w:bCs/>
          <w:sz w:val="28"/>
          <w:szCs w:val="28"/>
        </w:rPr>
      </w:pPr>
      <w:r>
        <w:rPr>
          <w:rFonts w:ascii="微软雅黑" w:eastAsia="微软雅黑" w:hAnsi="微软雅黑" w:hint="eastAsia"/>
          <w:b/>
          <w:bCs/>
          <w:sz w:val="28"/>
          <w:szCs w:val="28"/>
        </w:rPr>
        <w:t xml:space="preserve">                                           </w:t>
      </w:r>
      <w:r>
        <w:rPr>
          <w:rFonts w:ascii="微软雅黑" w:eastAsia="微软雅黑" w:hAnsi="微软雅黑" w:hint="eastAsia"/>
          <w:b/>
          <w:bCs/>
          <w:sz w:val="28"/>
          <w:szCs w:val="28"/>
        </w:rPr>
        <w:t>2025</w:t>
      </w:r>
      <w:r>
        <w:rPr>
          <w:rFonts w:ascii="微软雅黑" w:eastAsia="微软雅黑" w:hAnsi="微软雅黑" w:hint="eastAsia"/>
          <w:b/>
          <w:bCs/>
          <w:sz w:val="28"/>
          <w:szCs w:val="28"/>
        </w:rPr>
        <w:t>年第</w:t>
      </w:r>
      <w:r>
        <w:rPr>
          <w:rFonts w:ascii="微软雅黑" w:eastAsia="微软雅黑" w:hAnsi="微软雅黑" w:hint="eastAsia"/>
          <w:b/>
          <w:bCs/>
          <w:sz w:val="28"/>
          <w:szCs w:val="28"/>
        </w:rPr>
        <w:t>3</w:t>
      </w:r>
      <w:r>
        <w:rPr>
          <w:rFonts w:ascii="微软雅黑" w:eastAsia="微软雅黑" w:hAnsi="微软雅黑" w:hint="eastAsia"/>
          <w:b/>
          <w:bCs/>
          <w:sz w:val="28"/>
          <w:szCs w:val="28"/>
        </w:rPr>
        <w:t>季度报告</w:t>
      </w:r>
    </w:p>
    <w:p w:rsidR="00591B19" w:rsidRDefault="004C7FCF">
      <w:pPr>
        <w:rPr>
          <w:rFonts w:ascii="微软雅黑" w:eastAsia="微软雅黑" w:hAnsi="微软雅黑"/>
          <w:b/>
          <w:bCs/>
          <w:sz w:val="28"/>
          <w:szCs w:val="28"/>
        </w:rPr>
      </w:pPr>
      <w:r>
        <w:rPr>
          <w:rFonts w:ascii="微软雅黑" w:eastAsia="微软雅黑" w:hAnsi="微软雅黑" w:hint="eastAsia"/>
          <w:b/>
          <w:bCs/>
          <w:sz w:val="28"/>
          <w:szCs w:val="28"/>
        </w:rPr>
        <w:t>一、重要提示</w:t>
      </w:r>
    </w:p>
    <w:p w:rsidR="00591B19" w:rsidRDefault="004C7FCF">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rsidR="00591B19" w:rsidRDefault="004C7FCF">
      <w:pPr>
        <w:ind w:firstLine="480"/>
        <w:rPr>
          <w:rFonts w:ascii="微软雅黑" w:eastAsia="微软雅黑" w:hAnsi="微软雅黑"/>
          <w:sz w:val="24"/>
          <w:szCs w:val="24"/>
        </w:rPr>
      </w:pPr>
      <w:r>
        <w:rPr>
          <w:rFonts w:ascii="微软雅黑" w:eastAsia="微软雅黑" w:hAnsi="微软雅黑" w:hint="eastAsia"/>
          <w:sz w:val="24"/>
          <w:szCs w:val="24"/>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rPr>
        <w:t>理财非存款、产品有风险、投资须谨慎</w:t>
      </w:r>
      <w:r>
        <w:rPr>
          <w:rFonts w:ascii="微软雅黑" w:eastAsia="微软雅黑" w:hAnsi="微软雅黑" w:hint="eastAsia"/>
          <w:sz w:val="24"/>
          <w:szCs w:val="24"/>
        </w:rPr>
        <w:t>，投资者在做出投资决策前应仔细阅读本产品的销售文件。</w:t>
      </w:r>
    </w:p>
    <w:p w:rsidR="00591B19" w:rsidRDefault="004C7FCF">
      <w:pPr>
        <w:pStyle w:val="1"/>
        <w:rPr>
          <w:rFonts w:ascii="微软雅黑" w:eastAsia="微软雅黑" w:hAnsi="微软雅黑" w:cs="Calibri"/>
          <w:sz w:val="24"/>
          <w:szCs w:val="24"/>
        </w:rPr>
      </w:pPr>
      <w:r>
        <w:rPr>
          <w:rFonts w:ascii="微软雅黑" w:eastAsia="微软雅黑" w:hAnsi="微软雅黑" w:cs="Calibri" w:hint="eastAsia"/>
          <w:sz w:val="24"/>
          <w:szCs w:val="24"/>
        </w:rPr>
        <w:t>本报告中财务资料未经审计。</w:t>
      </w:r>
    </w:p>
    <w:p w:rsidR="00591B19" w:rsidRDefault="004C7FCF">
      <w:pPr>
        <w:rPr>
          <w:rFonts w:ascii="微软雅黑" w:eastAsia="微软雅黑" w:hAnsi="微软雅黑"/>
          <w:b/>
          <w:bCs/>
          <w:sz w:val="28"/>
          <w:szCs w:val="28"/>
        </w:rPr>
      </w:pPr>
      <w:r>
        <w:rPr>
          <w:rFonts w:ascii="微软雅黑" w:eastAsia="微软雅黑" w:hAnsi="微软雅黑" w:hint="eastAsia"/>
          <w:b/>
          <w:bCs/>
          <w:sz w:val="28"/>
          <w:szCs w:val="28"/>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4875"/>
      </w:tblGrid>
      <w:tr w:rsidR="00591B19">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left"/>
            </w:pPr>
            <w:r>
              <w:rPr>
                <w:rFonts w:ascii="微软雅黑" w:eastAsia="微软雅黑" w:hAnsi="微软雅黑" w:cs="微软雅黑"/>
                <w:color w:val="000000"/>
                <w:sz w:val="24"/>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left"/>
            </w:pPr>
            <w:r>
              <w:rPr>
                <w:rFonts w:ascii="微软雅黑" w:eastAsia="微软雅黑" w:hAnsi="微软雅黑" w:cs="微软雅黑"/>
                <w:color w:val="000000"/>
                <w:sz w:val="24"/>
              </w:rPr>
              <w:t>珠海华润银行润日升理财产品</w:t>
            </w:r>
          </w:p>
        </w:tc>
      </w:tr>
      <w:tr w:rsidR="00591B19">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left"/>
            </w:pPr>
            <w:r>
              <w:rPr>
                <w:rFonts w:ascii="微软雅黑" w:eastAsia="微软雅黑" w:hAnsi="微软雅黑" w:cs="微软雅黑"/>
                <w:color w:val="000000"/>
                <w:sz w:val="24"/>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left"/>
            </w:pPr>
            <w:r>
              <w:rPr>
                <w:rFonts w:ascii="微软雅黑" w:eastAsia="微软雅黑" w:hAnsi="微软雅黑" w:cs="微软雅黑"/>
                <w:color w:val="000000"/>
                <w:sz w:val="24"/>
              </w:rPr>
              <w:t>RRS001</w:t>
            </w:r>
          </w:p>
        </w:tc>
      </w:tr>
      <w:tr w:rsidR="00591B19">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left"/>
            </w:pPr>
            <w:r>
              <w:rPr>
                <w:rFonts w:ascii="微软雅黑" w:eastAsia="微软雅黑" w:hAnsi="微软雅黑" w:cs="微软雅黑"/>
                <w:color w:val="000000"/>
                <w:sz w:val="24"/>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left"/>
            </w:pPr>
            <w:r>
              <w:rPr>
                <w:rFonts w:ascii="微软雅黑" w:eastAsia="微软雅黑" w:hAnsi="微软雅黑" w:cs="微软雅黑"/>
                <w:color w:val="000000"/>
                <w:sz w:val="24"/>
              </w:rPr>
              <w:t>C1082919001183</w:t>
            </w:r>
          </w:p>
        </w:tc>
      </w:tr>
      <w:tr w:rsidR="00591B19">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left"/>
            </w:pPr>
            <w:r>
              <w:rPr>
                <w:rFonts w:ascii="微软雅黑" w:eastAsia="微软雅黑" w:hAnsi="微软雅黑" w:cs="微软雅黑"/>
                <w:color w:val="000000"/>
                <w:sz w:val="24"/>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left"/>
            </w:pPr>
            <w:r>
              <w:rPr>
                <w:rFonts w:ascii="微软雅黑" w:eastAsia="微软雅黑" w:hAnsi="微软雅黑" w:cs="微软雅黑"/>
                <w:color w:val="000000"/>
                <w:sz w:val="24"/>
              </w:rPr>
              <w:t>2021</w:t>
            </w:r>
            <w:r>
              <w:rPr>
                <w:rFonts w:ascii="微软雅黑" w:eastAsia="微软雅黑" w:hAnsi="微软雅黑" w:cs="微软雅黑"/>
                <w:color w:val="000000"/>
                <w:sz w:val="24"/>
              </w:rPr>
              <w:t>年</w:t>
            </w:r>
            <w:r>
              <w:rPr>
                <w:rFonts w:ascii="微软雅黑" w:eastAsia="微软雅黑" w:hAnsi="微软雅黑" w:cs="微软雅黑"/>
                <w:color w:val="000000"/>
                <w:sz w:val="24"/>
              </w:rPr>
              <w:t>05</w:t>
            </w:r>
            <w:r>
              <w:rPr>
                <w:rFonts w:ascii="微软雅黑" w:eastAsia="微软雅黑" w:hAnsi="微软雅黑" w:cs="微软雅黑"/>
                <w:color w:val="000000"/>
                <w:sz w:val="24"/>
              </w:rPr>
              <w:t>月</w:t>
            </w:r>
            <w:r>
              <w:rPr>
                <w:rFonts w:ascii="微软雅黑" w:eastAsia="微软雅黑" w:hAnsi="微软雅黑" w:cs="微软雅黑"/>
                <w:color w:val="000000"/>
                <w:sz w:val="24"/>
              </w:rPr>
              <w:t>10</w:t>
            </w:r>
            <w:r>
              <w:rPr>
                <w:rFonts w:ascii="微软雅黑" w:eastAsia="微软雅黑" w:hAnsi="微软雅黑" w:cs="微软雅黑"/>
                <w:color w:val="000000"/>
                <w:sz w:val="24"/>
              </w:rPr>
              <w:t>日</w:t>
            </w:r>
          </w:p>
        </w:tc>
      </w:tr>
      <w:tr w:rsidR="00591B19">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left"/>
            </w:pPr>
            <w:r>
              <w:rPr>
                <w:rFonts w:ascii="微软雅黑" w:eastAsia="微软雅黑" w:hAnsi="微软雅黑" w:cs="微软雅黑"/>
                <w:color w:val="000000"/>
                <w:sz w:val="24"/>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left"/>
            </w:pPr>
            <w:r>
              <w:rPr>
                <w:rFonts w:ascii="微软雅黑" w:eastAsia="微软雅黑" w:hAnsi="微软雅黑" w:cs="微软雅黑"/>
                <w:color w:val="000000"/>
                <w:sz w:val="24"/>
              </w:rPr>
              <w:t>一级</w:t>
            </w:r>
            <w:r>
              <w:rPr>
                <w:rFonts w:ascii="微软雅黑" w:eastAsia="微软雅黑" w:hAnsi="微软雅黑" w:cs="微软雅黑"/>
                <w:color w:val="000000"/>
                <w:sz w:val="24"/>
              </w:rPr>
              <w:t>(</w:t>
            </w:r>
            <w:r>
              <w:rPr>
                <w:rFonts w:ascii="微软雅黑" w:eastAsia="微软雅黑" w:hAnsi="微软雅黑" w:cs="微软雅黑"/>
                <w:color w:val="000000"/>
                <w:sz w:val="24"/>
              </w:rPr>
              <w:t>低</w:t>
            </w:r>
            <w:r>
              <w:rPr>
                <w:rFonts w:ascii="微软雅黑" w:eastAsia="微软雅黑" w:hAnsi="微软雅黑" w:cs="微软雅黑"/>
                <w:color w:val="000000"/>
                <w:sz w:val="24"/>
              </w:rPr>
              <w:t>)</w:t>
            </w:r>
          </w:p>
        </w:tc>
      </w:tr>
      <w:tr w:rsidR="00591B19">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left"/>
            </w:pPr>
            <w:r>
              <w:rPr>
                <w:rFonts w:ascii="微软雅黑" w:eastAsia="微软雅黑" w:hAnsi="微软雅黑" w:cs="微软雅黑"/>
                <w:color w:val="000000"/>
                <w:sz w:val="24"/>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left"/>
            </w:pPr>
            <w:r>
              <w:rPr>
                <w:rFonts w:ascii="微软雅黑" w:eastAsia="微软雅黑" w:hAnsi="微软雅黑" w:cs="微软雅黑"/>
                <w:color w:val="000000"/>
                <w:sz w:val="24"/>
              </w:rPr>
              <w:t>1,243,687,053.72</w:t>
            </w:r>
          </w:p>
        </w:tc>
      </w:tr>
      <w:tr w:rsidR="00591B19">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left"/>
            </w:pPr>
            <w:r>
              <w:rPr>
                <w:rFonts w:ascii="微软雅黑" w:eastAsia="微软雅黑" w:hAnsi="微软雅黑" w:cs="微软雅黑"/>
                <w:color w:val="000000"/>
                <w:sz w:val="24"/>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left"/>
            </w:pPr>
            <w:r>
              <w:rPr>
                <w:rFonts w:ascii="微软雅黑" w:eastAsia="微软雅黑" w:hAnsi="微软雅黑" w:cs="微软雅黑"/>
                <w:color w:val="000000"/>
                <w:sz w:val="24"/>
              </w:rPr>
              <w:t>珠海华润银行股份有限公司</w:t>
            </w:r>
          </w:p>
        </w:tc>
      </w:tr>
      <w:tr w:rsidR="00591B19">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left"/>
            </w:pPr>
            <w:r>
              <w:rPr>
                <w:rFonts w:ascii="微软雅黑" w:eastAsia="微软雅黑" w:hAnsi="微软雅黑" w:cs="微软雅黑"/>
                <w:color w:val="000000"/>
                <w:sz w:val="24"/>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left"/>
            </w:pPr>
            <w:r>
              <w:rPr>
                <w:rFonts w:ascii="微软雅黑" w:eastAsia="微软雅黑" w:hAnsi="微软雅黑" w:cs="微软雅黑"/>
                <w:color w:val="000000"/>
                <w:sz w:val="24"/>
              </w:rPr>
              <w:t>宁波银行股份有限公司</w:t>
            </w:r>
          </w:p>
        </w:tc>
      </w:tr>
      <w:tr w:rsidR="00591B19">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left"/>
            </w:pPr>
            <w:r>
              <w:rPr>
                <w:rFonts w:ascii="微软雅黑" w:eastAsia="微软雅黑" w:hAnsi="微软雅黑" w:cs="微软雅黑"/>
                <w:color w:val="000000"/>
                <w:sz w:val="24"/>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left"/>
            </w:pPr>
            <w:r>
              <w:rPr>
                <w:rFonts w:ascii="微软雅黑" w:eastAsia="微软雅黑" w:hAnsi="微软雅黑" w:cs="微软雅黑"/>
                <w:color w:val="000000"/>
                <w:sz w:val="24"/>
              </w:rPr>
              <w:t>100.95%</w:t>
            </w:r>
          </w:p>
        </w:tc>
      </w:tr>
    </w:tbl>
    <w:p w:rsidR="00591B19" w:rsidRDefault="004C7FCF">
      <w:pPr>
        <w:ind w:firstLine="480"/>
        <w:rPr>
          <w:rFonts w:ascii="微软雅黑" w:eastAsia="微软雅黑" w:hAnsi="微软雅黑"/>
        </w:rPr>
      </w:pPr>
      <w:r>
        <w:rPr>
          <w:rFonts w:ascii="微软雅黑" w:eastAsia="微软雅黑" w:hAnsi="微软雅黑" w:hint="eastAsia"/>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rsidR="00591B19" w:rsidRDefault="004C7FCF">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9"/>
        <w:gridCol w:w="6257"/>
      </w:tblGrid>
      <w:tr w:rsidR="00591B19">
        <w:trPr>
          <w:trHeight w:val="90"/>
        </w:trPr>
        <w:tc>
          <w:tcPr>
            <w:tcW w:w="3589" w:type="dxa"/>
            <w:tcBorders>
              <w:top w:val="single" w:sz="4" w:space="0" w:color="auto"/>
              <w:left w:val="single" w:sz="4" w:space="0" w:color="auto"/>
              <w:bottom w:val="single" w:sz="4" w:space="0" w:color="auto"/>
              <w:right w:val="single" w:sz="4" w:space="0" w:color="auto"/>
            </w:tcBorders>
            <w:vAlign w:val="center"/>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rsidR="00591B19" w:rsidRDefault="004C7FCF">
            <w:pPr>
              <w:pStyle w:val="1"/>
              <w:ind w:firstLineChars="1000" w:firstLine="2400"/>
              <w:rPr>
                <w:rStyle w:val="10"/>
                <w:rFonts w:ascii="微软雅黑" w:eastAsia="微软雅黑" w:hAnsi="微软雅黑"/>
                <w:sz w:val="24"/>
                <w:szCs w:val="24"/>
              </w:rPr>
            </w:pPr>
            <w:r>
              <w:rPr>
                <w:rFonts w:ascii="微软雅黑" w:eastAsia="微软雅黑" w:hAnsi="微软雅黑" w:hint="eastAsia"/>
                <w:sz w:val="24"/>
                <w:szCs w:val="24"/>
              </w:rPr>
              <w:t>报告期</w:t>
            </w:r>
          </w:p>
          <w:p w:rsidR="00591B19" w:rsidRDefault="004C7FCF">
            <w:pPr>
              <w:pStyle w:val="1"/>
              <w:ind w:firstLineChars="100" w:firstLine="240"/>
              <w:rPr>
                <w:rStyle w:val="10"/>
                <w:rFonts w:ascii="微软雅黑" w:eastAsia="微软雅黑" w:hAnsi="微软雅黑"/>
                <w:sz w:val="24"/>
                <w:szCs w:val="24"/>
              </w:rPr>
            </w:pPr>
            <w:r>
              <w:rPr>
                <w:rFonts w:ascii="微软雅黑" w:eastAsia="微软雅黑" w:hAnsi="微软雅黑" w:hint="eastAsia"/>
                <w:sz w:val="24"/>
                <w:szCs w:val="24"/>
              </w:rPr>
              <w:t>2025</w:t>
            </w:r>
            <w:r>
              <w:rPr>
                <w:rFonts w:ascii="微软雅黑" w:eastAsia="微软雅黑" w:hAnsi="微软雅黑" w:hint="eastAsia"/>
                <w:sz w:val="24"/>
                <w:szCs w:val="24"/>
              </w:rPr>
              <w:t>年</w:t>
            </w:r>
            <w:r>
              <w:rPr>
                <w:rFonts w:ascii="微软雅黑" w:eastAsia="微软雅黑" w:hAnsi="微软雅黑" w:hint="eastAsia"/>
                <w:sz w:val="24"/>
                <w:szCs w:val="24"/>
              </w:rPr>
              <w:t>07</w:t>
            </w:r>
            <w:r>
              <w:rPr>
                <w:rFonts w:ascii="微软雅黑" w:eastAsia="微软雅黑" w:hAnsi="微软雅黑" w:hint="eastAsia"/>
                <w:sz w:val="24"/>
                <w:szCs w:val="24"/>
              </w:rPr>
              <w:t>月</w:t>
            </w:r>
            <w:r>
              <w:rPr>
                <w:rFonts w:ascii="微软雅黑" w:eastAsia="微软雅黑" w:hAnsi="微软雅黑" w:hint="eastAsia"/>
                <w:sz w:val="24"/>
                <w:szCs w:val="24"/>
              </w:rPr>
              <w:t>01</w:t>
            </w:r>
            <w:r>
              <w:rPr>
                <w:rFonts w:ascii="微软雅黑" w:eastAsia="微软雅黑" w:hAnsi="微软雅黑" w:hint="eastAsia"/>
                <w:sz w:val="24"/>
                <w:szCs w:val="24"/>
              </w:rPr>
              <w:t>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hint="eastAsia"/>
                <w:sz w:val="24"/>
                <w:szCs w:val="24"/>
              </w:rPr>
              <w:t>2025</w:t>
            </w:r>
            <w:r>
              <w:rPr>
                <w:rFonts w:ascii="微软雅黑" w:eastAsia="微软雅黑" w:hAnsi="微软雅黑" w:hint="eastAsia"/>
                <w:sz w:val="24"/>
                <w:szCs w:val="24"/>
              </w:rPr>
              <w:t>年</w:t>
            </w:r>
            <w:r>
              <w:rPr>
                <w:rFonts w:ascii="微软雅黑" w:eastAsia="微软雅黑" w:hAnsi="微软雅黑" w:hint="eastAsia"/>
                <w:sz w:val="24"/>
                <w:szCs w:val="24"/>
              </w:rPr>
              <w:t>09</w:t>
            </w:r>
            <w:r>
              <w:rPr>
                <w:rFonts w:ascii="微软雅黑" w:eastAsia="微软雅黑" w:hAnsi="微软雅黑" w:hint="eastAsia"/>
                <w:sz w:val="24"/>
                <w:szCs w:val="24"/>
              </w:rPr>
              <w:t>月</w:t>
            </w:r>
            <w:r>
              <w:rPr>
                <w:rFonts w:ascii="微软雅黑" w:eastAsia="微软雅黑" w:hAnsi="微软雅黑" w:hint="eastAsia"/>
                <w:sz w:val="24"/>
                <w:szCs w:val="24"/>
              </w:rPr>
              <w:t>30</w:t>
            </w:r>
            <w:r>
              <w:rPr>
                <w:rFonts w:ascii="微软雅黑" w:eastAsia="微软雅黑" w:hAnsi="微软雅黑" w:hint="eastAsia"/>
                <w:sz w:val="24"/>
                <w:szCs w:val="24"/>
              </w:rPr>
              <w:t>日</w:t>
            </w:r>
          </w:p>
        </w:tc>
      </w:tr>
      <w:tr w:rsidR="00591B19">
        <w:tc>
          <w:tcPr>
            <w:tcW w:w="3589" w:type="dxa"/>
            <w:tcBorders>
              <w:top w:val="single" w:sz="4" w:space="0" w:color="auto"/>
              <w:left w:val="single" w:sz="4" w:space="0" w:color="auto"/>
              <w:bottom w:val="single" w:sz="4" w:space="0" w:color="auto"/>
              <w:right w:val="single" w:sz="4" w:space="0" w:color="auto"/>
            </w:tcBorders>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w:t>
            </w:r>
            <w:r>
              <w:rPr>
                <w:rFonts w:ascii="微软雅黑" w:eastAsia="微软雅黑" w:hAnsi="微软雅黑" w:hint="eastAsia"/>
                <w:sz w:val="24"/>
                <w:szCs w:val="24"/>
              </w:rPr>
              <w:t>期末产品资产净值</w:t>
            </w:r>
          </w:p>
        </w:tc>
        <w:tc>
          <w:tcPr>
            <w:tcW w:w="6258" w:type="dxa"/>
            <w:tcBorders>
              <w:top w:val="single" w:sz="4" w:space="0" w:color="auto"/>
              <w:left w:val="nil"/>
              <w:bottom w:val="single" w:sz="4" w:space="0" w:color="auto"/>
              <w:right w:val="single" w:sz="4" w:space="0" w:color="auto"/>
            </w:tcBorders>
          </w:tcPr>
          <w:p w:rsidR="00591B19" w:rsidRDefault="004C7FCF">
            <w:pPr>
              <w:pStyle w:val="1"/>
              <w:ind w:firstLine="0"/>
              <w:jc w:val="right"/>
              <w:rPr>
                <w:rStyle w:val="10"/>
                <w:rFonts w:ascii="微软雅黑" w:eastAsia="微软雅黑" w:hAnsi="微软雅黑"/>
                <w:sz w:val="24"/>
                <w:szCs w:val="24"/>
              </w:rPr>
            </w:pPr>
            <w:r>
              <w:rPr>
                <w:rFonts w:ascii="微软雅黑" w:eastAsia="微软雅黑" w:hAnsi="微软雅黑" w:cs="Calibri" w:hint="eastAsia"/>
                <w:sz w:val="24"/>
                <w:szCs w:val="24"/>
              </w:rPr>
              <w:t>1,243,687,053.72</w:t>
            </w:r>
          </w:p>
        </w:tc>
      </w:tr>
      <w:tr w:rsidR="00591B19">
        <w:tc>
          <w:tcPr>
            <w:tcW w:w="3589" w:type="dxa"/>
            <w:tcBorders>
              <w:top w:val="single" w:sz="4" w:space="0" w:color="auto"/>
              <w:left w:val="single" w:sz="4" w:space="0" w:color="auto"/>
              <w:bottom w:val="single" w:sz="4" w:space="0" w:color="auto"/>
              <w:right w:val="single" w:sz="4" w:space="0" w:color="auto"/>
            </w:tcBorders>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hint="eastAsia"/>
                <w:sz w:val="24"/>
                <w:szCs w:val="24"/>
              </w:rPr>
              <w:lastRenderedPageBreak/>
              <w:t>2.</w:t>
            </w:r>
            <w:r>
              <w:rPr>
                <w:rFonts w:ascii="微软雅黑" w:eastAsia="微软雅黑" w:hAnsi="微软雅黑" w:hint="eastAsia"/>
                <w:sz w:val="24"/>
                <w:szCs w:val="24"/>
              </w:rPr>
              <w:t>期末产品份额净值</w:t>
            </w:r>
          </w:p>
        </w:tc>
        <w:tc>
          <w:tcPr>
            <w:tcW w:w="6258" w:type="dxa"/>
            <w:tcBorders>
              <w:top w:val="single" w:sz="4" w:space="0" w:color="auto"/>
              <w:left w:val="nil"/>
              <w:bottom w:val="single" w:sz="4" w:space="0" w:color="auto"/>
              <w:right w:val="single" w:sz="4" w:space="0" w:color="auto"/>
            </w:tcBorders>
          </w:tcPr>
          <w:p w:rsidR="00591B19" w:rsidRDefault="004C7FCF">
            <w:pPr>
              <w:pStyle w:val="1"/>
              <w:ind w:firstLine="0"/>
              <w:jc w:val="right"/>
              <w:rPr>
                <w:rStyle w:val="10"/>
                <w:rFonts w:ascii="微软雅黑" w:eastAsia="微软雅黑" w:hAnsi="微软雅黑"/>
                <w:sz w:val="24"/>
                <w:szCs w:val="24"/>
              </w:rPr>
            </w:pPr>
            <w:r>
              <w:rPr>
                <w:rFonts w:ascii="微软雅黑" w:eastAsia="微软雅黑" w:hAnsi="微软雅黑" w:cs="Calibri" w:hint="eastAsia"/>
                <w:sz w:val="24"/>
                <w:szCs w:val="24"/>
              </w:rPr>
              <w:t>1.0000</w:t>
            </w:r>
          </w:p>
        </w:tc>
      </w:tr>
      <w:tr w:rsidR="00591B19">
        <w:trPr>
          <w:trHeight w:val="384"/>
        </w:trPr>
        <w:tc>
          <w:tcPr>
            <w:tcW w:w="3589" w:type="dxa"/>
            <w:tcBorders>
              <w:top w:val="single" w:sz="4" w:space="0" w:color="auto"/>
              <w:left w:val="single" w:sz="4" w:space="0" w:color="auto"/>
              <w:bottom w:val="single" w:sz="4" w:space="0" w:color="auto"/>
              <w:right w:val="single" w:sz="4" w:space="0" w:color="auto"/>
            </w:tcBorders>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w:t>
            </w:r>
            <w:r>
              <w:rPr>
                <w:rFonts w:ascii="微软雅黑" w:eastAsia="微软雅黑" w:hAnsi="微软雅黑" w:hint="eastAsia"/>
                <w:sz w:val="24"/>
                <w:szCs w:val="24"/>
              </w:rPr>
              <w:t>期末产品份额累计净值</w:t>
            </w:r>
          </w:p>
        </w:tc>
        <w:tc>
          <w:tcPr>
            <w:tcW w:w="6258" w:type="dxa"/>
            <w:tcBorders>
              <w:top w:val="single" w:sz="4" w:space="0" w:color="auto"/>
              <w:left w:val="nil"/>
              <w:bottom w:val="single" w:sz="4" w:space="0" w:color="auto"/>
              <w:right w:val="single" w:sz="4" w:space="0" w:color="auto"/>
            </w:tcBorders>
          </w:tcPr>
          <w:p w:rsidR="00591B19" w:rsidRDefault="004C7FCF">
            <w:pPr>
              <w:pStyle w:val="1"/>
              <w:ind w:firstLine="0"/>
              <w:jc w:val="right"/>
              <w:rPr>
                <w:rStyle w:val="10"/>
                <w:rFonts w:ascii="微软雅黑" w:eastAsia="微软雅黑" w:hAnsi="微软雅黑"/>
                <w:sz w:val="24"/>
                <w:szCs w:val="24"/>
              </w:rPr>
            </w:pPr>
            <w:r>
              <w:rPr>
                <w:rFonts w:ascii="微软雅黑" w:eastAsia="微软雅黑" w:hAnsi="微软雅黑" w:cs="Calibri" w:hint="eastAsia"/>
                <w:sz w:val="24"/>
                <w:szCs w:val="24"/>
              </w:rPr>
              <w:t>1.0000</w:t>
            </w:r>
          </w:p>
        </w:tc>
      </w:tr>
    </w:tbl>
    <w:p w:rsidR="00591B19" w:rsidRDefault="004C7FCF">
      <w:pPr>
        <w:spacing w:beforeLines="50" w:before="156"/>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1"/>
        <w:gridCol w:w="2250"/>
        <w:gridCol w:w="1501"/>
        <w:gridCol w:w="2375"/>
        <w:gridCol w:w="1585"/>
      </w:tblGrid>
      <w:tr w:rsidR="00591B19">
        <w:tc>
          <w:tcPr>
            <w:tcW w:w="2122" w:type="dxa"/>
            <w:vMerge w:val="restart"/>
            <w:tcBorders>
              <w:top w:val="single" w:sz="4" w:space="0" w:color="auto"/>
              <w:left w:val="single" w:sz="4" w:space="0" w:color="auto"/>
              <w:bottom w:val="single" w:sz="4" w:space="0" w:color="auto"/>
              <w:right w:val="single" w:sz="4" w:space="0" w:color="auto"/>
            </w:tcBorders>
            <w:vAlign w:val="center"/>
          </w:tcPr>
          <w:p w:rsidR="00591B19" w:rsidRDefault="004C7FCF">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w:t>
            </w:r>
            <w:r>
              <w:rPr>
                <w:rFonts w:ascii="微软雅黑" w:eastAsia="微软雅黑" w:hAnsi="微软雅黑" w:hint="eastAsia"/>
                <w:sz w:val="24"/>
                <w:szCs w:val="24"/>
              </w:rPr>
              <w:t xml:space="preserve">  </w:t>
            </w:r>
            <w:r>
              <w:rPr>
                <w:rFonts w:ascii="微软雅黑" w:eastAsia="微软雅黑" w:hAnsi="微软雅黑" w:hint="eastAsia"/>
                <w:sz w:val="24"/>
                <w:szCs w:val="24"/>
              </w:rPr>
              <w:t>目</w:t>
            </w:r>
          </w:p>
        </w:tc>
        <w:tc>
          <w:tcPr>
            <w:tcW w:w="3752" w:type="dxa"/>
            <w:gridSpan w:val="2"/>
            <w:tcBorders>
              <w:top w:val="single" w:sz="4" w:space="0" w:color="auto"/>
              <w:left w:val="nil"/>
              <w:bottom w:val="single" w:sz="4" w:space="0" w:color="auto"/>
              <w:right w:val="single" w:sz="4" w:space="0" w:color="auto"/>
            </w:tcBorders>
          </w:tcPr>
          <w:p w:rsidR="00591B19" w:rsidRDefault="004C7FCF">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rsidR="00591B19" w:rsidRDefault="004C7FCF">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rsidR="00591B19">
        <w:tc>
          <w:tcPr>
            <w:tcW w:w="2122" w:type="dxa"/>
            <w:vMerge/>
            <w:tcBorders>
              <w:top w:val="single" w:sz="4" w:space="0" w:color="auto"/>
              <w:left w:val="single" w:sz="4" w:space="0" w:color="auto"/>
              <w:bottom w:val="single" w:sz="4" w:space="0" w:color="auto"/>
              <w:right w:val="single" w:sz="4" w:space="0" w:color="auto"/>
            </w:tcBorders>
            <w:vAlign w:val="center"/>
          </w:tcPr>
          <w:p w:rsidR="00591B19" w:rsidRDefault="00591B19">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rsidR="00591B19">
        <w:tc>
          <w:tcPr>
            <w:tcW w:w="2122" w:type="dxa"/>
            <w:tcBorders>
              <w:top w:val="single" w:sz="4" w:space="0" w:color="auto"/>
              <w:left w:val="single" w:sz="4" w:space="0" w:color="auto"/>
              <w:bottom w:val="single" w:sz="4" w:space="0" w:color="auto"/>
              <w:right w:val="single" w:sz="4" w:space="0" w:color="auto"/>
            </w:tcBorders>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 xml:space="preserve">1. </w:t>
            </w:r>
            <w:r>
              <w:rPr>
                <w:rFonts w:ascii="微软雅黑" w:eastAsia="微软雅黑" w:hAnsi="微软雅黑" w:hint="eastAsia"/>
                <w:sz w:val="24"/>
                <w:szCs w:val="24"/>
              </w:rPr>
              <w:t>固定收益类</w:t>
            </w:r>
          </w:p>
        </w:tc>
        <w:tc>
          <w:tcPr>
            <w:tcW w:w="2251" w:type="dxa"/>
            <w:tcBorders>
              <w:top w:val="single" w:sz="4" w:space="0" w:color="auto"/>
              <w:left w:val="nil"/>
              <w:bottom w:val="single" w:sz="4" w:space="0" w:color="auto"/>
              <w:right w:val="single" w:sz="4" w:space="0" w:color="auto"/>
            </w:tcBorders>
            <w:vAlign w:val="bottom"/>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1,255,499,242.21</w:t>
            </w:r>
          </w:p>
        </w:tc>
        <w:tc>
          <w:tcPr>
            <w:tcW w:w="1501" w:type="dxa"/>
            <w:tcBorders>
              <w:top w:val="single" w:sz="4" w:space="0" w:color="auto"/>
              <w:left w:val="nil"/>
              <w:bottom w:val="single" w:sz="4" w:space="0" w:color="auto"/>
              <w:right w:val="single" w:sz="4" w:space="0" w:color="auto"/>
            </w:tcBorders>
            <w:vAlign w:val="bottom"/>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100.00%</w:t>
            </w:r>
          </w:p>
        </w:tc>
        <w:tc>
          <w:tcPr>
            <w:tcW w:w="2375" w:type="dxa"/>
            <w:tcBorders>
              <w:top w:val="single" w:sz="4" w:space="0" w:color="auto"/>
              <w:left w:val="nil"/>
              <w:bottom w:val="single" w:sz="4" w:space="0" w:color="auto"/>
              <w:right w:val="single" w:sz="4" w:space="0" w:color="auto"/>
            </w:tcBorders>
            <w:vAlign w:val="bottom"/>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c>
          <w:tcPr>
            <w:tcW w:w="1585" w:type="dxa"/>
            <w:tcBorders>
              <w:top w:val="single" w:sz="4" w:space="0" w:color="auto"/>
              <w:left w:val="nil"/>
              <w:bottom w:val="single" w:sz="4" w:space="0" w:color="auto"/>
              <w:right w:val="single" w:sz="4" w:space="0" w:color="auto"/>
            </w:tcBorders>
            <w:vAlign w:val="bottom"/>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r>
      <w:tr w:rsidR="00591B19">
        <w:tc>
          <w:tcPr>
            <w:tcW w:w="2122" w:type="dxa"/>
            <w:tcBorders>
              <w:top w:val="single" w:sz="4" w:space="0" w:color="auto"/>
              <w:left w:val="single" w:sz="4" w:space="0" w:color="auto"/>
              <w:bottom w:val="single" w:sz="4" w:space="0" w:color="auto"/>
              <w:right w:val="single" w:sz="4" w:space="0" w:color="auto"/>
            </w:tcBorders>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rsidR="00591B19" w:rsidRDefault="004C7FCF">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369,022,342.16</w:t>
            </w:r>
          </w:p>
        </w:tc>
        <w:tc>
          <w:tcPr>
            <w:tcW w:w="1501" w:type="dxa"/>
            <w:tcBorders>
              <w:top w:val="single" w:sz="4" w:space="0" w:color="auto"/>
              <w:left w:val="nil"/>
              <w:bottom w:val="single" w:sz="4" w:space="0" w:color="auto"/>
              <w:right w:val="single" w:sz="4" w:space="0" w:color="auto"/>
            </w:tcBorders>
            <w:vAlign w:val="bottom"/>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29.39%</w:t>
            </w:r>
          </w:p>
        </w:tc>
        <w:tc>
          <w:tcPr>
            <w:tcW w:w="2375" w:type="dxa"/>
            <w:tcBorders>
              <w:top w:val="single" w:sz="4" w:space="0" w:color="auto"/>
              <w:left w:val="nil"/>
              <w:bottom w:val="single" w:sz="4" w:space="0" w:color="auto"/>
              <w:right w:val="single" w:sz="4" w:space="0" w:color="auto"/>
            </w:tcBorders>
            <w:vAlign w:val="bottom"/>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c>
          <w:tcPr>
            <w:tcW w:w="1585" w:type="dxa"/>
            <w:tcBorders>
              <w:top w:val="single" w:sz="4" w:space="0" w:color="auto"/>
              <w:left w:val="nil"/>
              <w:bottom w:val="single" w:sz="4" w:space="0" w:color="auto"/>
              <w:right w:val="single" w:sz="4" w:space="0" w:color="auto"/>
            </w:tcBorders>
            <w:vAlign w:val="bottom"/>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r>
      <w:tr w:rsidR="00591B19">
        <w:tc>
          <w:tcPr>
            <w:tcW w:w="2122" w:type="dxa"/>
            <w:tcBorders>
              <w:top w:val="single" w:sz="4" w:space="0" w:color="auto"/>
              <w:left w:val="single" w:sz="4" w:space="0" w:color="auto"/>
              <w:bottom w:val="single" w:sz="4" w:space="0" w:color="auto"/>
              <w:right w:val="single" w:sz="4" w:space="0" w:color="auto"/>
            </w:tcBorders>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886,476,900.05</w:t>
            </w:r>
          </w:p>
        </w:tc>
        <w:tc>
          <w:tcPr>
            <w:tcW w:w="1501" w:type="dxa"/>
            <w:tcBorders>
              <w:top w:val="single" w:sz="4" w:space="0" w:color="auto"/>
              <w:left w:val="nil"/>
              <w:bottom w:val="single" w:sz="4" w:space="0" w:color="auto"/>
              <w:right w:val="single" w:sz="4" w:space="0" w:color="auto"/>
            </w:tcBorders>
            <w:vAlign w:val="bottom"/>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70.61%</w:t>
            </w:r>
          </w:p>
        </w:tc>
        <w:tc>
          <w:tcPr>
            <w:tcW w:w="2375" w:type="dxa"/>
            <w:tcBorders>
              <w:top w:val="single" w:sz="4" w:space="0" w:color="auto"/>
              <w:left w:val="nil"/>
              <w:bottom w:val="single" w:sz="4" w:space="0" w:color="auto"/>
              <w:right w:val="single" w:sz="4" w:space="0" w:color="auto"/>
            </w:tcBorders>
            <w:vAlign w:val="bottom"/>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c>
          <w:tcPr>
            <w:tcW w:w="1585" w:type="dxa"/>
            <w:tcBorders>
              <w:top w:val="single" w:sz="4" w:space="0" w:color="auto"/>
              <w:left w:val="nil"/>
              <w:bottom w:val="single" w:sz="4" w:space="0" w:color="auto"/>
              <w:right w:val="single" w:sz="4" w:space="0" w:color="auto"/>
            </w:tcBorders>
            <w:vAlign w:val="bottom"/>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r>
      <w:tr w:rsidR="00591B19">
        <w:tc>
          <w:tcPr>
            <w:tcW w:w="2122" w:type="dxa"/>
            <w:tcBorders>
              <w:top w:val="single" w:sz="4" w:space="0" w:color="auto"/>
              <w:left w:val="single" w:sz="4" w:space="0" w:color="auto"/>
              <w:bottom w:val="single" w:sz="4" w:space="0" w:color="auto"/>
              <w:right w:val="single" w:sz="4" w:space="0" w:color="auto"/>
            </w:tcBorders>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c>
          <w:tcPr>
            <w:tcW w:w="1501" w:type="dxa"/>
            <w:tcBorders>
              <w:top w:val="single" w:sz="4" w:space="0" w:color="auto"/>
              <w:left w:val="nil"/>
              <w:bottom w:val="single" w:sz="4" w:space="0" w:color="auto"/>
              <w:right w:val="single" w:sz="4" w:space="0" w:color="auto"/>
            </w:tcBorders>
            <w:vAlign w:val="bottom"/>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c>
          <w:tcPr>
            <w:tcW w:w="2375" w:type="dxa"/>
            <w:tcBorders>
              <w:top w:val="single" w:sz="4" w:space="0" w:color="auto"/>
              <w:left w:val="nil"/>
              <w:bottom w:val="single" w:sz="4" w:space="0" w:color="auto"/>
              <w:right w:val="single" w:sz="4" w:space="0" w:color="auto"/>
            </w:tcBorders>
            <w:vAlign w:val="bottom"/>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c>
          <w:tcPr>
            <w:tcW w:w="1585" w:type="dxa"/>
            <w:tcBorders>
              <w:top w:val="single" w:sz="4" w:space="0" w:color="auto"/>
              <w:left w:val="nil"/>
              <w:bottom w:val="single" w:sz="4" w:space="0" w:color="auto"/>
              <w:right w:val="single" w:sz="4" w:space="0" w:color="auto"/>
            </w:tcBorders>
            <w:vAlign w:val="bottom"/>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r>
      <w:tr w:rsidR="00591B19">
        <w:tc>
          <w:tcPr>
            <w:tcW w:w="2122" w:type="dxa"/>
            <w:tcBorders>
              <w:top w:val="single" w:sz="4" w:space="0" w:color="auto"/>
              <w:left w:val="single" w:sz="4" w:space="0" w:color="auto"/>
              <w:bottom w:val="single" w:sz="4" w:space="0" w:color="auto"/>
              <w:right w:val="single" w:sz="4" w:space="0" w:color="auto"/>
            </w:tcBorders>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c>
          <w:tcPr>
            <w:tcW w:w="1501" w:type="dxa"/>
            <w:tcBorders>
              <w:top w:val="single" w:sz="4" w:space="0" w:color="auto"/>
              <w:left w:val="nil"/>
              <w:bottom w:val="single" w:sz="4" w:space="0" w:color="auto"/>
              <w:right w:val="single" w:sz="4" w:space="0" w:color="auto"/>
            </w:tcBorders>
            <w:vAlign w:val="bottom"/>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c>
          <w:tcPr>
            <w:tcW w:w="2375" w:type="dxa"/>
            <w:tcBorders>
              <w:top w:val="single" w:sz="4" w:space="0" w:color="auto"/>
              <w:left w:val="nil"/>
              <w:bottom w:val="single" w:sz="4" w:space="0" w:color="auto"/>
              <w:right w:val="single" w:sz="4" w:space="0" w:color="auto"/>
            </w:tcBorders>
            <w:vAlign w:val="bottom"/>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c>
          <w:tcPr>
            <w:tcW w:w="1585" w:type="dxa"/>
            <w:tcBorders>
              <w:top w:val="single" w:sz="4" w:space="0" w:color="auto"/>
              <w:left w:val="nil"/>
              <w:bottom w:val="single" w:sz="4" w:space="0" w:color="auto"/>
              <w:right w:val="single" w:sz="4" w:space="0" w:color="auto"/>
            </w:tcBorders>
            <w:vAlign w:val="bottom"/>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r>
      <w:tr w:rsidR="00591B19">
        <w:tc>
          <w:tcPr>
            <w:tcW w:w="2122" w:type="dxa"/>
            <w:tcBorders>
              <w:top w:val="single" w:sz="4" w:space="0" w:color="auto"/>
              <w:left w:val="single" w:sz="4" w:space="0" w:color="auto"/>
              <w:bottom w:val="single" w:sz="4" w:space="0" w:color="auto"/>
              <w:right w:val="single" w:sz="4" w:space="0" w:color="auto"/>
            </w:tcBorders>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w:t>
            </w:r>
            <w:r>
              <w:rPr>
                <w:rFonts w:ascii="微软雅黑" w:eastAsia="微软雅黑" w:hAnsi="微软雅黑" w:hint="eastAsia"/>
                <w:sz w:val="24"/>
                <w:szCs w:val="24"/>
              </w:rPr>
              <w:t>权益类</w:t>
            </w:r>
          </w:p>
        </w:tc>
        <w:tc>
          <w:tcPr>
            <w:tcW w:w="2251" w:type="dxa"/>
            <w:tcBorders>
              <w:top w:val="single" w:sz="4" w:space="0" w:color="auto"/>
              <w:left w:val="nil"/>
              <w:bottom w:val="single" w:sz="4" w:space="0" w:color="auto"/>
              <w:right w:val="single" w:sz="4" w:space="0" w:color="auto"/>
            </w:tcBorders>
            <w:vAlign w:val="bottom"/>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c>
          <w:tcPr>
            <w:tcW w:w="1501" w:type="dxa"/>
            <w:tcBorders>
              <w:top w:val="single" w:sz="4" w:space="0" w:color="auto"/>
              <w:left w:val="nil"/>
              <w:bottom w:val="single" w:sz="4" w:space="0" w:color="auto"/>
              <w:right w:val="single" w:sz="4" w:space="0" w:color="auto"/>
            </w:tcBorders>
            <w:vAlign w:val="bottom"/>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c>
          <w:tcPr>
            <w:tcW w:w="2375" w:type="dxa"/>
            <w:tcBorders>
              <w:top w:val="single" w:sz="4" w:space="0" w:color="auto"/>
              <w:left w:val="nil"/>
              <w:bottom w:val="single" w:sz="4" w:space="0" w:color="auto"/>
              <w:right w:val="single" w:sz="4" w:space="0" w:color="auto"/>
            </w:tcBorders>
            <w:vAlign w:val="bottom"/>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c>
          <w:tcPr>
            <w:tcW w:w="1585" w:type="dxa"/>
            <w:tcBorders>
              <w:top w:val="single" w:sz="4" w:space="0" w:color="auto"/>
              <w:left w:val="nil"/>
              <w:bottom w:val="single" w:sz="4" w:space="0" w:color="auto"/>
              <w:right w:val="single" w:sz="4" w:space="0" w:color="auto"/>
            </w:tcBorders>
            <w:vAlign w:val="bottom"/>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r>
      <w:tr w:rsidR="00591B19">
        <w:tc>
          <w:tcPr>
            <w:tcW w:w="2122" w:type="dxa"/>
            <w:tcBorders>
              <w:top w:val="single" w:sz="4" w:space="0" w:color="auto"/>
              <w:left w:val="single" w:sz="4" w:space="0" w:color="auto"/>
              <w:bottom w:val="single" w:sz="4" w:space="0" w:color="auto"/>
              <w:right w:val="single" w:sz="4" w:space="0" w:color="auto"/>
            </w:tcBorders>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w:t>
            </w:r>
            <w:r>
              <w:rPr>
                <w:rFonts w:ascii="微软雅黑" w:eastAsia="微软雅黑" w:hAnsi="微软雅黑" w:hint="eastAsia"/>
                <w:sz w:val="24"/>
                <w:szCs w:val="24"/>
              </w:rPr>
              <w:t>商品及金融衍生品类</w:t>
            </w:r>
          </w:p>
        </w:tc>
        <w:tc>
          <w:tcPr>
            <w:tcW w:w="2251" w:type="dxa"/>
            <w:tcBorders>
              <w:top w:val="single" w:sz="4" w:space="0" w:color="auto"/>
              <w:left w:val="nil"/>
              <w:bottom w:val="single" w:sz="4" w:space="0" w:color="auto"/>
              <w:right w:val="single" w:sz="4" w:space="0" w:color="auto"/>
            </w:tcBorders>
            <w:vAlign w:val="bottom"/>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c>
          <w:tcPr>
            <w:tcW w:w="1501" w:type="dxa"/>
            <w:tcBorders>
              <w:top w:val="single" w:sz="4" w:space="0" w:color="auto"/>
              <w:left w:val="nil"/>
              <w:bottom w:val="single" w:sz="4" w:space="0" w:color="auto"/>
              <w:right w:val="single" w:sz="4" w:space="0" w:color="auto"/>
            </w:tcBorders>
            <w:vAlign w:val="bottom"/>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c>
          <w:tcPr>
            <w:tcW w:w="2375" w:type="dxa"/>
            <w:tcBorders>
              <w:top w:val="single" w:sz="4" w:space="0" w:color="auto"/>
              <w:left w:val="nil"/>
              <w:bottom w:val="single" w:sz="4" w:space="0" w:color="auto"/>
              <w:right w:val="single" w:sz="4" w:space="0" w:color="auto"/>
            </w:tcBorders>
            <w:vAlign w:val="bottom"/>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c>
          <w:tcPr>
            <w:tcW w:w="1585" w:type="dxa"/>
            <w:tcBorders>
              <w:top w:val="single" w:sz="4" w:space="0" w:color="auto"/>
              <w:left w:val="nil"/>
              <w:bottom w:val="single" w:sz="4" w:space="0" w:color="auto"/>
              <w:right w:val="single" w:sz="4" w:space="0" w:color="auto"/>
            </w:tcBorders>
            <w:vAlign w:val="bottom"/>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r>
      <w:tr w:rsidR="00591B19">
        <w:tc>
          <w:tcPr>
            <w:tcW w:w="2122" w:type="dxa"/>
            <w:tcBorders>
              <w:top w:val="single" w:sz="4" w:space="0" w:color="auto"/>
              <w:left w:val="single" w:sz="4" w:space="0" w:color="auto"/>
              <w:bottom w:val="single" w:sz="4" w:space="0" w:color="auto"/>
              <w:right w:val="single" w:sz="4" w:space="0" w:color="auto"/>
            </w:tcBorders>
            <w:vAlign w:val="center"/>
          </w:tcPr>
          <w:p w:rsidR="00591B19" w:rsidRDefault="004C7FCF">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1,255,499,242.21</w:t>
            </w:r>
          </w:p>
        </w:tc>
        <w:tc>
          <w:tcPr>
            <w:tcW w:w="1501" w:type="dxa"/>
            <w:tcBorders>
              <w:top w:val="single" w:sz="4" w:space="0" w:color="auto"/>
              <w:left w:val="nil"/>
              <w:bottom w:val="single" w:sz="4" w:space="0" w:color="auto"/>
              <w:right w:val="single" w:sz="4" w:space="0" w:color="auto"/>
            </w:tcBorders>
            <w:vAlign w:val="bottom"/>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100.00%</w:t>
            </w:r>
          </w:p>
        </w:tc>
        <w:tc>
          <w:tcPr>
            <w:tcW w:w="2375" w:type="dxa"/>
            <w:tcBorders>
              <w:top w:val="single" w:sz="4" w:space="0" w:color="auto"/>
              <w:left w:val="nil"/>
              <w:bottom w:val="single" w:sz="4" w:space="0" w:color="auto"/>
              <w:right w:val="single" w:sz="4" w:space="0" w:color="auto"/>
            </w:tcBorders>
            <w:vAlign w:val="bottom"/>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c>
          <w:tcPr>
            <w:tcW w:w="1585" w:type="dxa"/>
            <w:tcBorders>
              <w:top w:val="single" w:sz="4" w:space="0" w:color="auto"/>
              <w:left w:val="nil"/>
              <w:bottom w:val="single" w:sz="4" w:space="0" w:color="auto"/>
              <w:right w:val="single" w:sz="4" w:space="0" w:color="auto"/>
            </w:tcBorders>
            <w:vAlign w:val="bottom"/>
          </w:tcPr>
          <w:p w:rsidR="00591B19" w:rsidRDefault="004C7FCF">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r>
    </w:tbl>
    <w:p w:rsidR="00591B19" w:rsidRDefault="004C7FCF">
      <w:pPr>
        <w:numPr>
          <w:ilvl w:val="0"/>
          <w:numId w:val="1"/>
        </w:numPr>
        <w:spacing w:beforeLines="50" w:before="156"/>
        <w:jc w:val="left"/>
        <w:rPr>
          <w:rFonts w:ascii="微软雅黑" w:eastAsia="微软雅黑" w:hAnsi="微软雅黑"/>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3750"/>
        <w:gridCol w:w="2820"/>
        <w:gridCol w:w="2130"/>
      </w:tblGrid>
      <w:tr w:rsidR="00591B19">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资产占比</w:t>
            </w:r>
          </w:p>
        </w:tc>
      </w:tr>
      <w:tr w:rsidR="00591B19">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买入返售金融资产</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 xml:space="preserve">300,970,014.24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24.20%</w:t>
            </w:r>
          </w:p>
        </w:tc>
      </w:tr>
      <w:tr w:rsidR="00591B19">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25</w:t>
            </w:r>
            <w:proofErr w:type="gramStart"/>
            <w:r>
              <w:rPr>
                <w:rFonts w:ascii="微软雅黑" w:eastAsia="微软雅黑" w:hAnsi="微软雅黑" w:cs="微软雅黑"/>
                <w:color w:val="000000"/>
                <w:sz w:val="24"/>
              </w:rPr>
              <w:t>浙商银行</w:t>
            </w:r>
            <w:proofErr w:type="gramEnd"/>
            <w:r>
              <w:rPr>
                <w:rFonts w:ascii="微软雅黑" w:eastAsia="微软雅黑" w:hAnsi="微软雅黑" w:cs="微软雅黑"/>
                <w:color w:val="000000"/>
                <w:sz w:val="24"/>
              </w:rPr>
              <w:t>CD073</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 xml:space="preserve">99,074,775.17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7.97%</w:t>
            </w:r>
          </w:p>
        </w:tc>
      </w:tr>
      <w:tr w:rsidR="00591B19">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 xml:space="preserve">68,052,327.92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5.47%</w:t>
            </w:r>
          </w:p>
        </w:tc>
      </w:tr>
      <w:tr w:rsidR="00591B19">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4</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25</w:t>
            </w:r>
            <w:r>
              <w:rPr>
                <w:rFonts w:ascii="微软雅黑" w:eastAsia="微软雅黑" w:hAnsi="微软雅黑" w:cs="微软雅黑"/>
                <w:color w:val="000000"/>
                <w:sz w:val="24"/>
              </w:rPr>
              <w:t>中国平煤</w:t>
            </w:r>
            <w:r>
              <w:rPr>
                <w:rFonts w:ascii="微软雅黑" w:eastAsia="微软雅黑" w:hAnsi="微软雅黑" w:cs="微软雅黑"/>
                <w:color w:val="000000"/>
                <w:sz w:val="24"/>
              </w:rPr>
              <w:t>CP002</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 xml:space="preserve">50,965,728.24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4.10%</w:t>
            </w:r>
          </w:p>
        </w:tc>
      </w:tr>
      <w:tr w:rsidR="00591B19">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5</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25</w:t>
            </w:r>
            <w:r>
              <w:rPr>
                <w:rFonts w:ascii="微软雅黑" w:eastAsia="微软雅黑" w:hAnsi="微软雅黑" w:cs="微软雅黑"/>
                <w:color w:val="000000"/>
                <w:sz w:val="24"/>
              </w:rPr>
              <w:t>广发银行</w:t>
            </w:r>
            <w:r>
              <w:rPr>
                <w:rFonts w:ascii="微软雅黑" w:eastAsia="微软雅黑" w:hAnsi="微软雅黑" w:cs="微软雅黑"/>
                <w:color w:val="000000"/>
                <w:sz w:val="24"/>
              </w:rPr>
              <w:t>CD034</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 xml:space="preserve">49,885,852.35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4.01%</w:t>
            </w:r>
          </w:p>
        </w:tc>
      </w:tr>
      <w:tr w:rsidR="00591B19">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6</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25</w:t>
            </w:r>
            <w:r>
              <w:rPr>
                <w:rFonts w:ascii="微软雅黑" w:eastAsia="微软雅黑" w:hAnsi="微软雅黑" w:cs="微软雅黑"/>
                <w:color w:val="000000"/>
                <w:sz w:val="24"/>
              </w:rPr>
              <w:t>江苏银行</w:t>
            </w:r>
            <w:r>
              <w:rPr>
                <w:rFonts w:ascii="微软雅黑" w:eastAsia="微软雅黑" w:hAnsi="微软雅黑" w:cs="微软雅黑"/>
                <w:color w:val="000000"/>
                <w:sz w:val="24"/>
              </w:rPr>
              <w:t>CD028</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 xml:space="preserve">49,864,262.51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4.01%</w:t>
            </w:r>
          </w:p>
        </w:tc>
      </w:tr>
      <w:tr w:rsidR="00591B19">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7</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25</w:t>
            </w:r>
            <w:r>
              <w:rPr>
                <w:rFonts w:ascii="微软雅黑" w:eastAsia="微软雅黑" w:hAnsi="微软雅黑" w:cs="微软雅黑"/>
                <w:color w:val="000000"/>
                <w:sz w:val="24"/>
              </w:rPr>
              <w:t>农业银行</w:t>
            </w:r>
            <w:r>
              <w:rPr>
                <w:rFonts w:ascii="微软雅黑" w:eastAsia="微软雅黑" w:hAnsi="微软雅黑" w:cs="微软雅黑"/>
                <w:color w:val="000000"/>
                <w:sz w:val="24"/>
              </w:rPr>
              <w:t>CD177</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 xml:space="preserve">49,445,164.55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3.98%</w:t>
            </w:r>
          </w:p>
        </w:tc>
      </w:tr>
      <w:tr w:rsidR="00591B19">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8</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25</w:t>
            </w:r>
            <w:r>
              <w:rPr>
                <w:rFonts w:ascii="微软雅黑" w:eastAsia="微软雅黑" w:hAnsi="微软雅黑" w:cs="微软雅黑"/>
                <w:color w:val="000000"/>
                <w:sz w:val="24"/>
              </w:rPr>
              <w:t>农业银行</w:t>
            </w:r>
            <w:r>
              <w:rPr>
                <w:rFonts w:ascii="微软雅黑" w:eastAsia="微软雅黑" w:hAnsi="微软雅黑" w:cs="微软雅黑"/>
                <w:color w:val="000000"/>
                <w:sz w:val="24"/>
              </w:rPr>
              <w:t>CD310</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 xml:space="preserve">49,210,106.75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3.96%</w:t>
            </w:r>
          </w:p>
        </w:tc>
      </w:tr>
      <w:tr w:rsidR="00591B19">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9</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23</w:t>
            </w:r>
            <w:r>
              <w:rPr>
                <w:rFonts w:ascii="微软雅黑" w:eastAsia="微软雅黑" w:hAnsi="微软雅黑" w:cs="微软雅黑"/>
                <w:color w:val="000000"/>
                <w:sz w:val="24"/>
              </w:rPr>
              <w:t>悦达</w:t>
            </w:r>
            <w:r>
              <w:rPr>
                <w:rFonts w:ascii="微软雅黑" w:eastAsia="微软雅黑" w:hAnsi="微软雅黑" w:cs="微软雅黑"/>
                <w:color w:val="000000"/>
                <w:sz w:val="24"/>
              </w:rPr>
              <w:t>PPN002</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 xml:space="preserve">41,659,357.73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3.35%</w:t>
            </w:r>
          </w:p>
        </w:tc>
      </w:tr>
      <w:tr w:rsidR="00591B19">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10</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23</w:t>
            </w:r>
            <w:r>
              <w:rPr>
                <w:rFonts w:ascii="微软雅黑" w:eastAsia="微软雅黑" w:hAnsi="微软雅黑" w:cs="微软雅黑"/>
                <w:color w:val="000000"/>
                <w:sz w:val="24"/>
              </w:rPr>
              <w:t>首股</w:t>
            </w:r>
            <w:r>
              <w:rPr>
                <w:rFonts w:ascii="微软雅黑" w:eastAsia="微软雅黑" w:hAnsi="微软雅黑" w:cs="微软雅黑"/>
                <w:color w:val="000000"/>
                <w:sz w:val="24"/>
              </w:rPr>
              <w:t>01</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 xml:space="preserve">41,567,304.70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3.34%</w:t>
            </w:r>
          </w:p>
        </w:tc>
      </w:tr>
    </w:tbl>
    <w:p w:rsidR="00591B19" w:rsidRDefault="00591B19"/>
    <w:p w:rsidR="00591B19" w:rsidRDefault="004C7FCF">
      <w:pPr>
        <w:rPr>
          <w:rFonts w:ascii="微软雅黑" w:eastAsia="微软雅黑" w:hAnsi="微软雅黑"/>
          <w:b/>
          <w:bCs/>
          <w:sz w:val="28"/>
          <w:szCs w:val="28"/>
        </w:rPr>
      </w:pPr>
      <w:r>
        <w:rPr>
          <w:rFonts w:ascii="微软雅黑" w:eastAsia="微软雅黑" w:hAnsi="微软雅黑" w:hint="eastAsia"/>
          <w:b/>
          <w:bCs/>
          <w:sz w:val="28"/>
          <w:szCs w:val="28"/>
        </w:rPr>
        <w:lastRenderedPageBreak/>
        <w:t>六、</w:t>
      </w:r>
      <w:r>
        <w:rPr>
          <w:rFonts w:ascii="微软雅黑" w:eastAsia="微软雅黑" w:hAnsi="微软雅黑" w:hint="eastAsia"/>
          <w:b/>
          <w:bCs/>
          <w:sz w:val="28"/>
          <w:szCs w:val="28"/>
        </w:rPr>
        <w:t>报告期内投资的非标准化债权类资产信息</w:t>
      </w:r>
      <w:r>
        <w:rPr>
          <w:rFonts w:ascii="微软雅黑" w:eastAsia="微软雅黑" w:hAnsi="微软雅黑" w:hint="eastAsia"/>
          <w:b/>
          <w:bCs/>
          <w:sz w:val="28"/>
          <w:szCs w:val="28"/>
        </w:rPr>
        <w:t xml:space="preserve">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2070"/>
        <w:gridCol w:w="2115"/>
        <w:gridCol w:w="1320"/>
        <w:gridCol w:w="1875"/>
      </w:tblGrid>
      <w:tr w:rsidR="00591B19">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交易结构</w:t>
            </w:r>
          </w:p>
        </w:tc>
      </w:tr>
      <w:tr w:rsidR="00591B19">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91B19" w:rsidRDefault="004C7FCF">
            <w:pPr>
              <w:jc w:val="center"/>
            </w:pPr>
            <w:r>
              <w:rPr>
                <w:rFonts w:ascii="微软雅黑" w:eastAsia="微软雅黑" w:hAnsi="微软雅黑" w:cs="微软雅黑"/>
                <w:color w:val="000000"/>
                <w:sz w:val="24"/>
              </w:rPr>
              <w:t>-</w:t>
            </w:r>
          </w:p>
        </w:tc>
      </w:tr>
    </w:tbl>
    <w:p w:rsidR="00591B19" w:rsidRDefault="004C7FCF">
      <w:pPr>
        <w:spacing w:beforeLines="50" w:before="156"/>
        <w:rPr>
          <w:rFonts w:ascii="微软雅黑" w:eastAsia="微软雅黑" w:hAnsi="微软雅黑"/>
          <w:b/>
          <w:bCs/>
          <w:sz w:val="28"/>
          <w:szCs w:val="28"/>
        </w:rPr>
      </w:pPr>
      <w:r>
        <w:rPr>
          <w:rFonts w:ascii="微软雅黑" w:eastAsia="微软雅黑" w:hAnsi="微软雅黑" w:hint="eastAsia"/>
          <w:b/>
          <w:bCs/>
          <w:sz w:val="28"/>
          <w:szCs w:val="28"/>
        </w:rPr>
        <w:t>七、</w:t>
      </w:r>
      <w:r>
        <w:rPr>
          <w:rFonts w:ascii="微软雅黑" w:eastAsia="微软雅黑" w:hAnsi="微软雅黑" w:hint="eastAsia"/>
          <w:b/>
          <w:bCs/>
          <w:sz w:val="28"/>
          <w:szCs w:val="28"/>
        </w:rPr>
        <w:t>投资账户信息</w:t>
      </w:r>
    </w:p>
    <w:tbl>
      <w:tblPr>
        <w:tblStyle w:val="a4"/>
        <w:tblW w:w="0" w:type="auto"/>
        <w:tblLook w:val="04A0" w:firstRow="1" w:lastRow="0" w:firstColumn="1" w:lastColumn="0" w:noHBand="0" w:noVBand="1"/>
      </w:tblPr>
      <w:tblGrid>
        <w:gridCol w:w="1495"/>
        <w:gridCol w:w="3485"/>
        <w:gridCol w:w="2491"/>
        <w:gridCol w:w="2352"/>
      </w:tblGrid>
      <w:tr w:rsidR="00591B19">
        <w:tc>
          <w:tcPr>
            <w:tcW w:w="1495" w:type="dxa"/>
          </w:tcPr>
          <w:p w:rsidR="00591B19" w:rsidRDefault="004C7FCF">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rsidR="00591B19" w:rsidRDefault="004C7FCF">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rsidR="00591B19" w:rsidRDefault="004C7FCF">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rsidR="00591B19" w:rsidRDefault="004C7FCF">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rsidR="00591B19">
        <w:tc>
          <w:tcPr>
            <w:tcW w:w="1495" w:type="dxa"/>
          </w:tcPr>
          <w:p w:rsidR="00591B19" w:rsidRDefault="004C7FCF">
            <w:pPr>
              <w:rPr>
                <w:rFonts w:ascii="微软雅黑" w:eastAsia="微软雅黑" w:hAnsi="微软雅黑"/>
                <w:sz w:val="24"/>
                <w:szCs w:val="24"/>
              </w:rPr>
            </w:pPr>
            <w:r>
              <w:rPr>
                <w:rFonts w:ascii="微软雅黑" w:eastAsia="微软雅黑" w:hAnsi="微软雅黑" w:hint="eastAsia"/>
                <w:sz w:val="24"/>
                <w:szCs w:val="24"/>
              </w:rPr>
              <w:t>托管账户</w:t>
            </w:r>
          </w:p>
        </w:tc>
        <w:tc>
          <w:tcPr>
            <w:tcW w:w="3485" w:type="dxa"/>
          </w:tcPr>
          <w:p w:rsidR="00591B19" w:rsidRDefault="004C7FCF">
            <w:pPr>
              <w:jc w:val="center"/>
              <w:rPr>
                <w:rFonts w:ascii="微软雅黑" w:eastAsia="微软雅黑" w:hAnsi="微软雅黑"/>
                <w:sz w:val="24"/>
                <w:szCs w:val="24"/>
              </w:rPr>
            </w:pPr>
            <w:r>
              <w:rPr>
                <w:rFonts w:ascii="微软雅黑" w:eastAsia="微软雅黑" w:hAnsi="微软雅黑" w:hint="eastAsia"/>
                <w:sz w:val="24"/>
                <w:szCs w:val="24"/>
              </w:rPr>
              <w:t>86021110000632019</w:t>
            </w:r>
          </w:p>
        </w:tc>
        <w:tc>
          <w:tcPr>
            <w:tcW w:w="2491" w:type="dxa"/>
          </w:tcPr>
          <w:p w:rsidR="00591B19" w:rsidRDefault="004C7FCF">
            <w:pPr>
              <w:jc w:val="center"/>
              <w:rPr>
                <w:rFonts w:ascii="微软雅黑" w:eastAsia="微软雅黑" w:hAnsi="微软雅黑"/>
                <w:sz w:val="24"/>
                <w:szCs w:val="24"/>
              </w:rPr>
            </w:pPr>
            <w:r>
              <w:rPr>
                <w:rFonts w:ascii="微软雅黑" w:eastAsia="微软雅黑" w:hAnsi="微软雅黑" w:hint="eastAsia"/>
                <w:sz w:val="24"/>
                <w:szCs w:val="24"/>
              </w:rPr>
              <w:t>珠海华润银行股份有限公司润日升</w:t>
            </w:r>
          </w:p>
        </w:tc>
        <w:tc>
          <w:tcPr>
            <w:tcW w:w="2352" w:type="dxa"/>
          </w:tcPr>
          <w:p w:rsidR="00591B19" w:rsidRDefault="004C7FCF">
            <w:pPr>
              <w:tabs>
                <w:tab w:val="right" w:pos="2136"/>
              </w:tabs>
              <w:jc w:val="center"/>
              <w:rPr>
                <w:rFonts w:ascii="微软雅黑" w:eastAsia="微软雅黑" w:hAnsi="微软雅黑"/>
                <w:sz w:val="24"/>
                <w:szCs w:val="24"/>
              </w:rPr>
            </w:pPr>
            <w:r>
              <w:rPr>
                <w:rFonts w:ascii="微软雅黑" w:eastAsia="微软雅黑" w:hAnsi="微软雅黑" w:hint="eastAsia"/>
                <w:sz w:val="24"/>
                <w:szCs w:val="24"/>
              </w:rPr>
              <w:t>宁波银行深圳分行</w:t>
            </w:r>
          </w:p>
        </w:tc>
      </w:tr>
    </w:tbl>
    <w:p w:rsidR="00591B19" w:rsidRDefault="004C7FCF">
      <w:pPr>
        <w:spacing w:beforeLines="50" w:before="156"/>
        <w:rPr>
          <w:rFonts w:ascii="微软雅黑" w:eastAsia="微软雅黑" w:hAnsi="微软雅黑"/>
          <w:b/>
          <w:bCs/>
          <w:sz w:val="28"/>
          <w:szCs w:val="28"/>
        </w:rPr>
      </w:pPr>
      <w:r>
        <w:rPr>
          <w:rFonts w:ascii="微软雅黑" w:eastAsia="微软雅黑" w:hAnsi="微软雅黑" w:hint="eastAsia"/>
          <w:b/>
          <w:bCs/>
          <w:sz w:val="28"/>
          <w:szCs w:val="28"/>
        </w:rPr>
        <w:t>八、产品整体运作情况</w:t>
      </w:r>
    </w:p>
    <w:p w:rsidR="00591B19" w:rsidRDefault="004C7FCF">
      <w:pPr>
        <w:ind w:firstLine="480"/>
        <w:rPr>
          <w:rFonts w:ascii="微软雅黑" w:eastAsia="微软雅黑" w:hAnsi="微软雅黑"/>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rsidR="00591B19" w:rsidRDefault="004C7FCF">
      <w:pPr>
        <w:ind w:firstLine="480"/>
        <w:rPr>
          <w:rFonts w:ascii="微软雅黑" w:eastAsia="微软雅黑" w:hAnsi="微软雅黑"/>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rsidR="00591B19" w:rsidRDefault="004C7FCF">
      <w:pPr>
        <w:ind w:firstLine="480"/>
        <w:rPr>
          <w:rFonts w:ascii="微软雅黑" w:eastAsia="微软雅黑" w:hAnsi="微软雅黑"/>
          <w:sz w:val="24"/>
          <w:szCs w:val="24"/>
        </w:rPr>
      </w:pPr>
      <w:r>
        <w:rPr>
          <w:rFonts w:ascii="微软雅黑" w:eastAsia="微软雅黑" w:hAnsi="微软雅黑" w:hint="eastAsia"/>
          <w:sz w:val="24"/>
          <w:szCs w:val="24"/>
        </w:rPr>
        <w:t>本产品自成立至本报告日，没有发生涉诉及诉讼等损害投资者利益的情形。</w:t>
      </w:r>
    </w:p>
    <w:p w:rsidR="00591B19" w:rsidRDefault="004C7FCF">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rsidR="00591B19" w:rsidRDefault="004C7FCF">
      <w:pPr>
        <w:ind w:firstLine="480"/>
        <w:rPr>
          <w:rFonts w:ascii="微软雅黑" w:eastAsia="微软雅黑" w:hAnsi="微软雅黑"/>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rsidR="00591B19" w:rsidRDefault="004C7FCF">
      <w:pPr>
        <w:ind w:firstLine="480"/>
        <w:rPr>
          <w:rFonts w:ascii="微软雅黑" w:eastAsia="微软雅黑" w:hAnsi="微软雅黑"/>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rsidR="00591B19" w:rsidRDefault="004C7FCF">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rsidR="00591B19" w:rsidRDefault="004C7FCF">
      <w:pPr>
        <w:rPr>
          <w:rFonts w:ascii="微软雅黑" w:eastAsia="微软雅黑" w:hAnsi="微软雅黑"/>
          <w:sz w:val="24"/>
          <w:szCs w:val="24"/>
        </w:rPr>
      </w:pPr>
      <w:r>
        <w:rPr>
          <w:rFonts w:ascii="微软雅黑" w:eastAsia="微软雅黑" w:hAnsi="微软雅黑" w:hint="eastAsia"/>
          <w:sz w:val="24"/>
          <w:szCs w:val="24"/>
        </w:rPr>
        <w:t xml:space="preserve">10.1 </w:t>
      </w:r>
      <w:r>
        <w:rPr>
          <w:rFonts w:ascii="微软雅黑" w:eastAsia="微软雅黑" w:hAnsi="微软雅黑" w:hint="eastAsia"/>
          <w:sz w:val="24"/>
          <w:szCs w:val="24"/>
        </w:rPr>
        <w:t>报告期内，本产品投资于关联</w:t>
      </w:r>
      <w:proofErr w:type="gramStart"/>
      <w:r>
        <w:rPr>
          <w:rFonts w:ascii="微软雅黑" w:eastAsia="微软雅黑" w:hAnsi="微软雅黑" w:hint="eastAsia"/>
          <w:sz w:val="24"/>
          <w:szCs w:val="24"/>
        </w:rPr>
        <w:t>方发行</w:t>
      </w:r>
      <w:proofErr w:type="gramEnd"/>
      <w:r>
        <w:rPr>
          <w:rFonts w:ascii="微软雅黑" w:eastAsia="微软雅黑" w:hAnsi="微软雅黑" w:hint="eastAsia"/>
          <w:sz w:val="24"/>
          <w:szCs w:val="24"/>
        </w:rPr>
        <w:t>的债券，投资金额总计</w:t>
      </w:r>
      <w:r>
        <w:rPr>
          <w:rFonts w:ascii="微软雅黑" w:eastAsia="微软雅黑" w:hAnsi="微软雅黑" w:hint="eastAsia"/>
          <w:sz w:val="24"/>
          <w:szCs w:val="24"/>
        </w:rPr>
        <w:t>0.00</w:t>
      </w:r>
      <w:r>
        <w:rPr>
          <w:rFonts w:ascii="微软雅黑" w:eastAsia="微软雅黑" w:hAnsi="微软雅黑" w:hint="eastAsia"/>
          <w:sz w:val="24"/>
          <w:szCs w:val="24"/>
        </w:rPr>
        <w:t>元；</w:t>
      </w:r>
    </w:p>
    <w:p w:rsidR="00591B19" w:rsidRDefault="004C7FCF">
      <w:pPr>
        <w:rPr>
          <w:rFonts w:ascii="微软雅黑" w:eastAsia="微软雅黑" w:hAnsi="微软雅黑"/>
          <w:sz w:val="24"/>
          <w:szCs w:val="24"/>
        </w:rPr>
      </w:pPr>
      <w:r>
        <w:rPr>
          <w:rFonts w:ascii="微软雅黑" w:eastAsia="微软雅黑" w:hAnsi="微软雅黑" w:hint="eastAsia"/>
          <w:sz w:val="24"/>
          <w:szCs w:val="24"/>
        </w:rPr>
        <w:t xml:space="preserve">10.2 </w:t>
      </w:r>
      <w:r>
        <w:rPr>
          <w:rFonts w:ascii="微软雅黑" w:eastAsia="微软雅黑" w:hAnsi="微软雅黑" w:hint="eastAsia"/>
          <w:sz w:val="24"/>
          <w:szCs w:val="24"/>
        </w:rPr>
        <w:t>报告期内，本产品投资于关联方承销的债券，投资金额总计</w:t>
      </w:r>
      <w:r>
        <w:rPr>
          <w:rFonts w:ascii="微软雅黑" w:eastAsia="微软雅黑" w:hAnsi="微软雅黑" w:hint="eastAsia"/>
          <w:sz w:val="24"/>
          <w:szCs w:val="24"/>
        </w:rPr>
        <w:t>0.00</w:t>
      </w:r>
      <w:r>
        <w:rPr>
          <w:rFonts w:ascii="微软雅黑" w:eastAsia="微软雅黑" w:hAnsi="微软雅黑" w:hint="eastAsia"/>
          <w:sz w:val="24"/>
          <w:szCs w:val="24"/>
        </w:rPr>
        <w:t>元；</w:t>
      </w:r>
    </w:p>
    <w:p w:rsidR="00591B19" w:rsidRDefault="004C7FCF">
      <w:pPr>
        <w:rPr>
          <w:rFonts w:ascii="微软雅黑" w:eastAsia="微软雅黑" w:hAnsi="微软雅黑"/>
          <w:sz w:val="24"/>
          <w:szCs w:val="24"/>
        </w:rPr>
      </w:pPr>
      <w:r>
        <w:rPr>
          <w:rFonts w:ascii="微软雅黑" w:eastAsia="微软雅黑" w:hAnsi="微软雅黑" w:hint="eastAsia"/>
          <w:sz w:val="24"/>
          <w:szCs w:val="24"/>
        </w:rPr>
        <w:lastRenderedPageBreak/>
        <w:t xml:space="preserve">10.3 </w:t>
      </w:r>
      <w:r>
        <w:rPr>
          <w:rFonts w:ascii="微软雅黑" w:eastAsia="微软雅黑" w:hAnsi="微软雅黑" w:hint="eastAsia"/>
          <w:sz w:val="24"/>
          <w:szCs w:val="24"/>
        </w:rPr>
        <w:t>报告期内，本产品发生重大关联交易情况：无。</w:t>
      </w:r>
    </w:p>
    <w:p w:rsidR="00591B19" w:rsidRDefault="004C7FCF">
      <w:pPr>
        <w:spacing w:beforeLines="50" w:before="156"/>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rPr>
        <w:t xml:space="preserve"> </w:t>
      </w:r>
      <w:r>
        <w:rPr>
          <w:rFonts w:ascii="微软雅黑" w:eastAsia="微软雅黑" w:hAnsi="微软雅黑" w:hint="eastAsia"/>
          <w:b/>
          <w:bCs/>
          <w:sz w:val="28"/>
          <w:szCs w:val="28"/>
        </w:rPr>
        <w:t>一</w:t>
      </w:r>
      <w:r>
        <w:rPr>
          <w:rFonts w:ascii="微软雅黑" w:eastAsia="微软雅黑" w:hAnsi="微软雅黑" w:hint="eastAsia"/>
          <w:b/>
          <w:bCs/>
          <w:sz w:val="28"/>
          <w:szCs w:val="28"/>
        </w:rPr>
        <w:t>、托管人报告</w:t>
      </w:r>
    </w:p>
    <w:p w:rsidR="00591B19" w:rsidRDefault="004C7FCF">
      <w:pPr>
        <w:rPr>
          <w:rFonts w:ascii="微软雅黑" w:eastAsia="微软雅黑" w:hAnsi="微软雅黑"/>
          <w:sz w:val="24"/>
          <w:szCs w:val="24"/>
        </w:rPr>
      </w:pPr>
      <w:r>
        <w:rPr>
          <w:rFonts w:ascii="微软雅黑" w:eastAsia="微软雅黑" w:hAnsi="微软雅黑" w:hint="eastAsia"/>
          <w:sz w:val="28"/>
          <w:szCs w:val="28"/>
        </w:rPr>
        <w:t xml:space="preserve"> </w:t>
      </w:r>
      <w:r>
        <w:rPr>
          <w:rFonts w:ascii="微软雅黑" w:eastAsia="微软雅黑" w:hAnsi="微软雅黑" w:hint="eastAsia"/>
          <w:sz w:val="28"/>
          <w:szCs w:val="28"/>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rPr>
        <w:t>在报告期内，托管人严格遵守有关法律法规规定、理财产品托管协议的约定，诚实信用、</w:t>
      </w:r>
      <w:r>
        <w:rPr>
          <w:rFonts w:ascii="微软雅黑" w:eastAsia="微软雅黑" w:hAnsi="微软雅黑" w:hint="eastAsia"/>
          <w:sz w:val="24"/>
          <w:szCs w:val="24"/>
        </w:rPr>
        <w:t xml:space="preserve"> </w:t>
      </w:r>
      <w:r>
        <w:rPr>
          <w:rFonts w:ascii="微软雅黑" w:eastAsia="微软雅黑" w:hAnsi="微软雅黑" w:hint="eastAsia"/>
          <w:sz w:val="24"/>
          <w:szCs w:val="24"/>
        </w:rPr>
        <w:t>勤勉尽责地履行了托管人职责。托管人对管理人报告中的穿透前财务数据进行了复核，未发现存在虚假记载、误导性陈述或者重大遗漏的情形。</w:t>
      </w:r>
    </w:p>
    <w:p w:rsidR="004C7FCF" w:rsidRDefault="004C7FCF" w:rsidP="004C7FCF">
      <w:pPr>
        <w:numPr>
          <w:ilvl w:val="0"/>
          <w:numId w:val="2"/>
        </w:numPr>
        <w:rPr>
          <w:rFonts w:ascii="微软雅黑" w:eastAsia="微软雅黑" w:hAnsi="微软雅黑"/>
          <w:b/>
          <w:bCs/>
          <w:sz w:val="28"/>
          <w:szCs w:val="28"/>
        </w:rPr>
      </w:pPr>
      <w:r>
        <w:rPr>
          <w:rFonts w:ascii="微软雅黑" w:eastAsia="微软雅黑" w:hAnsi="微软雅黑" w:hint="eastAsia"/>
          <w:b/>
          <w:bCs/>
          <w:sz w:val="28"/>
          <w:szCs w:val="28"/>
        </w:rPr>
        <w:t>前十大投资者情况</w:t>
      </w:r>
    </w:p>
    <w:tbl>
      <w:tblPr>
        <w:tblStyle w:val="a4"/>
        <w:tblW w:w="0" w:type="auto"/>
        <w:tblLook w:val="04A0" w:firstRow="1" w:lastRow="0" w:firstColumn="1" w:lastColumn="0" w:noHBand="0" w:noVBand="1"/>
      </w:tblPr>
      <w:tblGrid>
        <w:gridCol w:w="2090"/>
        <w:gridCol w:w="2890"/>
        <w:gridCol w:w="2491"/>
        <w:gridCol w:w="2491"/>
      </w:tblGrid>
      <w:tr w:rsidR="004C7FCF" w:rsidTr="00F26BC8">
        <w:trPr>
          <w:trHeight w:val="567"/>
        </w:trPr>
        <w:tc>
          <w:tcPr>
            <w:tcW w:w="2090" w:type="dxa"/>
            <w:vAlign w:val="center"/>
          </w:tcPr>
          <w:p w:rsidR="004C7FCF" w:rsidRDefault="004C7FCF" w:rsidP="00F26BC8">
            <w:pPr>
              <w:jc w:val="center"/>
              <w:rPr>
                <w:rFonts w:ascii="微软雅黑" w:eastAsia="微软雅黑" w:hAnsi="微软雅黑" w:cs="微软雅黑"/>
                <w:sz w:val="24"/>
                <w:szCs w:val="24"/>
              </w:rPr>
            </w:pPr>
            <w:r>
              <w:rPr>
                <w:rFonts w:ascii="微软雅黑" w:eastAsia="微软雅黑" w:hAnsi="微软雅黑" w:cs="微软雅黑" w:hint="eastAsia"/>
                <w:sz w:val="24"/>
                <w:szCs w:val="24"/>
              </w:rPr>
              <w:t>序号</w:t>
            </w:r>
          </w:p>
        </w:tc>
        <w:tc>
          <w:tcPr>
            <w:tcW w:w="2890" w:type="dxa"/>
            <w:vAlign w:val="center"/>
          </w:tcPr>
          <w:p w:rsidR="004C7FCF" w:rsidRDefault="004C7FCF" w:rsidP="00F26BC8">
            <w:pPr>
              <w:jc w:val="center"/>
              <w:rPr>
                <w:rFonts w:ascii="微软雅黑" w:eastAsia="微软雅黑" w:hAnsi="微软雅黑" w:cs="微软雅黑"/>
                <w:sz w:val="24"/>
                <w:szCs w:val="24"/>
              </w:rPr>
            </w:pPr>
            <w:r>
              <w:rPr>
                <w:rFonts w:ascii="微软雅黑" w:eastAsia="微软雅黑" w:hAnsi="微软雅黑" w:cs="微软雅黑" w:hint="eastAsia"/>
                <w:sz w:val="24"/>
                <w:szCs w:val="24"/>
              </w:rPr>
              <w:t>投资者类别</w:t>
            </w:r>
          </w:p>
        </w:tc>
        <w:tc>
          <w:tcPr>
            <w:tcW w:w="2491" w:type="dxa"/>
            <w:vAlign w:val="center"/>
          </w:tcPr>
          <w:p w:rsidR="004C7FCF" w:rsidRDefault="004C7FCF" w:rsidP="00F26BC8">
            <w:pPr>
              <w:rPr>
                <w:rFonts w:ascii="微软雅黑" w:eastAsia="微软雅黑" w:hAnsi="微软雅黑" w:cs="微软雅黑"/>
                <w:sz w:val="24"/>
                <w:szCs w:val="24"/>
              </w:rPr>
            </w:pPr>
            <w:r>
              <w:rPr>
                <w:rFonts w:ascii="微软雅黑" w:eastAsia="微软雅黑" w:hAnsi="微软雅黑" w:cs="微软雅黑" w:hint="eastAsia"/>
                <w:sz w:val="24"/>
                <w:szCs w:val="24"/>
              </w:rPr>
              <w:t>期末持有份额（份）</w:t>
            </w:r>
          </w:p>
        </w:tc>
        <w:tc>
          <w:tcPr>
            <w:tcW w:w="2491" w:type="dxa"/>
            <w:vAlign w:val="center"/>
          </w:tcPr>
          <w:p w:rsidR="004C7FCF" w:rsidRDefault="004C7FCF" w:rsidP="00F26BC8">
            <w:pPr>
              <w:rPr>
                <w:rFonts w:ascii="微软雅黑" w:eastAsia="微软雅黑" w:hAnsi="微软雅黑" w:cs="微软雅黑"/>
                <w:sz w:val="24"/>
                <w:szCs w:val="24"/>
              </w:rPr>
            </w:pPr>
            <w:r>
              <w:rPr>
                <w:rFonts w:ascii="微软雅黑" w:eastAsia="微软雅黑" w:hAnsi="微软雅黑" w:cs="微软雅黑" w:hint="eastAsia"/>
                <w:sz w:val="24"/>
                <w:szCs w:val="24"/>
              </w:rPr>
              <w:t>占总份额比例（%）</w:t>
            </w:r>
          </w:p>
        </w:tc>
      </w:tr>
      <w:tr w:rsidR="004C7FCF" w:rsidTr="00F26BC8">
        <w:trPr>
          <w:trHeight w:val="510"/>
        </w:trPr>
        <w:tc>
          <w:tcPr>
            <w:tcW w:w="2090" w:type="dxa"/>
            <w:vAlign w:val="center"/>
          </w:tcPr>
          <w:p w:rsidR="004C7FCF" w:rsidRDefault="004C7FCF" w:rsidP="00F26BC8">
            <w:pPr>
              <w:jc w:val="center"/>
              <w:rPr>
                <w:rFonts w:ascii="微软雅黑" w:eastAsia="微软雅黑" w:hAnsi="微软雅黑" w:cs="微软雅黑"/>
                <w:sz w:val="22"/>
                <w:szCs w:val="22"/>
              </w:rPr>
            </w:pPr>
            <w:r>
              <w:rPr>
                <w:rFonts w:ascii="微软雅黑" w:eastAsia="微软雅黑" w:hAnsi="微软雅黑" w:cs="微软雅黑" w:hint="eastAsia"/>
                <w:sz w:val="22"/>
                <w:szCs w:val="22"/>
              </w:rPr>
              <w:t>1</w:t>
            </w:r>
          </w:p>
        </w:tc>
        <w:tc>
          <w:tcPr>
            <w:tcW w:w="2890" w:type="dxa"/>
            <w:vAlign w:val="center"/>
          </w:tcPr>
          <w:p w:rsidR="004C7FCF" w:rsidRDefault="004C7FCF" w:rsidP="00F26BC8">
            <w:pPr>
              <w:jc w:val="center"/>
              <w:rPr>
                <w:rFonts w:ascii="微软雅黑" w:eastAsia="微软雅黑" w:hAnsi="微软雅黑" w:cs="微软雅黑"/>
                <w:sz w:val="22"/>
                <w:szCs w:val="22"/>
              </w:rPr>
            </w:pPr>
            <w:r>
              <w:rPr>
                <w:rFonts w:ascii="微软雅黑" w:eastAsia="微软雅黑" w:hAnsi="微软雅黑" w:cs="微软雅黑" w:hint="eastAsia"/>
                <w:sz w:val="22"/>
                <w:szCs w:val="22"/>
              </w:rPr>
              <w:t>个人</w:t>
            </w:r>
          </w:p>
        </w:tc>
        <w:tc>
          <w:tcPr>
            <w:tcW w:w="2491" w:type="dxa"/>
            <w:vAlign w:val="center"/>
          </w:tcPr>
          <w:p w:rsidR="004C7FCF" w:rsidRDefault="004C7FCF" w:rsidP="00F26BC8">
            <w:pPr>
              <w:jc w:val="center"/>
              <w:rPr>
                <w:rFonts w:ascii="微软雅黑" w:eastAsia="微软雅黑" w:hAnsi="微软雅黑" w:cs="微软雅黑"/>
                <w:sz w:val="22"/>
                <w:szCs w:val="22"/>
              </w:rPr>
            </w:pPr>
            <w:r>
              <w:rPr>
                <w:rFonts w:ascii="微软雅黑" w:eastAsia="微软雅黑" w:hAnsi="微软雅黑" w:cs="微软雅黑" w:hint="eastAsia"/>
                <w:sz w:val="22"/>
                <w:szCs w:val="22"/>
              </w:rPr>
              <w:t xml:space="preserve"> 6,509,796.69 </w:t>
            </w:r>
          </w:p>
        </w:tc>
        <w:tc>
          <w:tcPr>
            <w:tcW w:w="2491" w:type="dxa"/>
            <w:vAlign w:val="center"/>
          </w:tcPr>
          <w:p w:rsidR="004C7FCF" w:rsidRDefault="004C7FCF" w:rsidP="00F26BC8">
            <w:pPr>
              <w:jc w:val="center"/>
              <w:rPr>
                <w:rFonts w:ascii="微软雅黑" w:eastAsia="微软雅黑" w:hAnsi="微软雅黑" w:cs="微软雅黑"/>
                <w:sz w:val="22"/>
                <w:szCs w:val="22"/>
              </w:rPr>
            </w:pPr>
            <w:r>
              <w:rPr>
                <w:rFonts w:ascii="微软雅黑" w:eastAsia="微软雅黑" w:hAnsi="微软雅黑" w:cs="微软雅黑" w:hint="eastAsia"/>
                <w:sz w:val="22"/>
                <w:szCs w:val="22"/>
              </w:rPr>
              <w:t>0.52%</w:t>
            </w:r>
          </w:p>
        </w:tc>
      </w:tr>
      <w:tr w:rsidR="004C7FCF" w:rsidTr="00F26BC8">
        <w:trPr>
          <w:trHeight w:val="510"/>
        </w:trPr>
        <w:tc>
          <w:tcPr>
            <w:tcW w:w="2090" w:type="dxa"/>
            <w:vAlign w:val="center"/>
          </w:tcPr>
          <w:p w:rsidR="004C7FCF" w:rsidRDefault="004C7FCF" w:rsidP="00F26BC8">
            <w:pPr>
              <w:jc w:val="center"/>
              <w:rPr>
                <w:rFonts w:ascii="微软雅黑" w:eastAsia="微软雅黑" w:hAnsi="微软雅黑" w:cs="微软雅黑"/>
                <w:sz w:val="22"/>
                <w:szCs w:val="22"/>
              </w:rPr>
            </w:pPr>
            <w:r>
              <w:rPr>
                <w:rFonts w:ascii="微软雅黑" w:eastAsia="微软雅黑" w:hAnsi="微软雅黑" w:cs="微软雅黑" w:hint="eastAsia"/>
                <w:sz w:val="22"/>
                <w:szCs w:val="22"/>
              </w:rPr>
              <w:t>2</w:t>
            </w:r>
          </w:p>
        </w:tc>
        <w:tc>
          <w:tcPr>
            <w:tcW w:w="2890" w:type="dxa"/>
            <w:vAlign w:val="center"/>
          </w:tcPr>
          <w:p w:rsidR="004C7FCF" w:rsidRDefault="004C7FCF" w:rsidP="00F26BC8">
            <w:pPr>
              <w:jc w:val="center"/>
              <w:rPr>
                <w:rFonts w:ascii="微软雅黑" w:eastAsia="微软雅黑" w:hAnsi="微软雅黑" w:cs="微软雅黑"/>
                <w:sz w:val="22"/>
                <w:szCs w:val="22"/>
              </w:rPr>
            </w:pPr>
            <w:r>
              <w:rPr>
                <w:rFonts w:ascii="微软雅黑" w:eastAsia="微软雅黑" w:hAnsi="微软雅黑" w:cs="微软雅黑" w:hint="eastAsia"/>
                <w:sz w:val="22"/>
                <w:szCs w:val="22"/>
              </w:rPr>
              <w:t>个人</w:t>
            </w:r>
          </w:p>
        </w:tc>
        <w:tc>
          <w:tcPr>
            <w:tcW w:w="2491" w:type="dxa"/>
            <w:vAlign w:val="center"/>
          </w:tcPr>
          <w:p w:rsidR="004C7FCF" w:rsidRDefault="004C7FCF" w:rsidP="00F26BC8">
            <w:pPr>
              <w:jc w:val="center"/>
              <w:rPr>
                <w:rFonts w:ascii="微软雅黑" w:eastAsia="微软雅黑" w:hAnsi="微软雅黑" w:cs="微软雅黑"/>
                <w:sz w:val="22"/>
                <w:szCs w:val="22"/>
              </w:rPr>
            </w:pPr>
            <w:r>
              <w:rPr>
                <w:rFonts w:ascii="微软雅黑" w:eastAsia="微软雅黑" w:hAnsi="微软雅黑" w:cs="微软雅黑" w:hint="eastAsia"/>
                <w:sz w:val="22"/>
                <w:szCs w:val="22"/>
              </w:rPr>
              <w:t xml:space="preserve"> 2,403,468.75 </w:t>
            </w:r>
          </w:p>
        </w:tc>
        <w:tc>
          <w:tcPr>
            <w:tcW w:w="2491" w:type="dxa"/>
            <w:vAlign w:val="center"/>
          </w:tcPr>
          <w:p w:rsidR="004C7FCF" w:rsidRDefault="004C7FCF" w:rsidP="00F26BC8">
            <w:pPr>
              <w:jc w:val="center"/>
              <w:rPr>
                <w:rFonts w:ascii="微软雅黑" w:eastAsia="微软雅黑" w:hAnsi="微软雅黑" w:cs="微软雅黑"/>
                <w:sz w:val="22"/>
                <w:szCs w:val="22"/>
              </w:rPr>
            </w:pPr>
            <w:r>
              <w:rPr>
                <w:rFonts w:ascii="微软雅黑" w:eastAsia="微软雅黑" w:hAnsi="微软雅黑" w:cs="微软雅黑" w:hint="eastAsia"/>
                <w:sz w:val="22"/>
                <w:szCs w:val="22"/>
              </w:rPr>
              <w:t>0.19%</w:t>
            </w:r>
          </w:p>
        </w:tc>
      </w:tr>
      <w:tr w:rsidR="004C7FCF" w:rsidTr="00F26BC8">
        <w:trPr>
          <w:trHeight w:val="510"/>
        </w:trPr>
        <w:tc>
          <w:tcPr>
            <w:tcW w:w="2090" w:type="dxa"/>
            <w:vAlign w:val="center"/>
          </w:tcPr>
          <w:p w:rsidR="004C7FCF" w:rsidRDefault="004C7FCF" w:rsidP="00F26BC8">
            <w:pPr>
              <w:jc w:val="center"/>
              <w:rPr>
                <w:rFonts w:ascii="微软雅黑" w:eastAsia="微软雅黑" w:hAnsi="微软雅黑" w:cs="微软雅黑"/>
                <w:sz w:val="22"/>
                <w:szCs w:val="22"/>
              </w:rPr>
            </w:pPr>
            <w:r>
              <w:rPr>
                <w:rFonts w:ascii="微软雅黑" w:eastAsia="微软雅黑" w:hAnsi="微软雅黑" w:cs="微软雅黑" w:hint="eastAsia"/>
                <w:sz w:val="22"/>
                <w:szCs w:val="22"/>
              </w:rPr>
              <w:t>3</w:t>
            </w:r>
          </w:p>
        </w:tc>
        <w:tc>
          <w:tcPr>
            <w:tcW w:w="2890" w:type="dxa"/>
            <w:vAlign w:val="center"/>
          </w:tcPr>
          <w:p w:rsidR="004C7FCF" w:rsidRDefault="004C7FCF" w:rsidP="00F26BC8">
            <w:pPr>
              <w:jc w:val="center"/>
              <w:rPr>
                <w:rFonts w:ascii="微软雅黑" w:eastAsia="微软雅黑" w:hAnsi="微软雅黑" w:cs="微软雅黑"/>
                <w:sz w:val="22"/>
                <w:szCs w:val="22"/>
              </w:rPr>
            </w:pPr>
            <w:r>
              <w:rPr>
                <w:rFonts w:ascii="微软雅黑" w:eastAsia="微软雅黑" w:hAnsi="微软雅黑" w:cs="微软雅黑" w:hint="eastAsia"/>
                <w:sz w:val="22"/>
                <w:szCs w:val="22"/>
              </w:rPr>
              <w:t>个人</w:t>
            </w:r>
          </w:p>
        </w:tc>
        <w:tc>
          <w:tcPr>
            <w:tcW w:w="2491" w:type="dxa"/>
            <w:vAlign w:val="center"/>
          </w:tcPr>
          <w:p w:rsidR="004C7FCF" w:rsidRDefault="004C7FCF" w:rsidP="00F26BC8">
            <w:pPr>
              <w:jc w:val="center"/>
              <w:rPr>
                <w:rFonts w:ascii="微软雅黑" w:eastAsia="微软雅黑" w:hAnsi="微软雅黑" w:cs="微软雅黑"/>
                <w:sz w:val="22"/>
                <w:szCs w:val="22"/>
              </w:rPr>
            </w:pPr>
            <w:r>
              <w:rPr>
                <w:rFonts w:ascii="微软雅黑" w:eastAsia="微软雅黑" w:hAnsi="微软雅黑" w:cs="微软雅黑" w:hint="eastAsia"/>
                <w:sz w:val="22"/>
                <w:szCs w:val="22"/>
              </w:rPr>
              <w:t xml:space="preserve"> 1,907,832.30 </w:t>
            </w:r>
          </w:p>
        </w:tc>
        <w:tc>
          <w:tcPr>
            <w:tcW w:w="2491" w:type="dxa"/>
            <w:vAlign w:val="center"/>
          </w:tcPr>
          <w:p w:rsidR="004C7FCF" w:rsidRDefault="004C7FCF" w:rsidP="00F26BC8">
            <w:pPr>
              <w:jc w:val="center"/>
              <w:rPr>
                <w:rFonts w:ascii="微软雅黑" w:eastAsia="微软雅黑" w:hAnsi="微软雅黑" w:cs="微软雅黑"/>
                <w:sz w:val="22"/>
                <w:szCs w:val="22"/>
              </w:rPr>
            </w:pPr>
            <w:r>
              <w:rPr>
                <w:rFonts w:ascii="微软雅黑" w:eastAsia="微软雅黑" w:hAnsi="微软雅黑" w:cs="微软雅黑" w:hint="eastAsia"/>
                <w:sz w:val="22"/>
                <w:szCs w:val="22"/>
              </w:rPr>
              <w:t>0.15%</w:t>
            </w:r>
          </w:p>
        </w:tc>
      </w:tr>
      <w:tr w:rsidR="004C7FCF" w:rsidTr="00F26BC8">
        <w:trPr>
          <w:trHeight w:val="510"/>
        </w:trPr>
        <w:tc>
          <w:tcPr>
            <w:tcW w:w="2090" w:type="dxa"/>
            <w:vAlign w:val="center"/>
          </w:tcPr>
          <w:p w:rsidR="004C7FCF" w:rsidRDefault="004C7FCF" w:rsidP="00F26BC8">
            <w:pPr>
              <w:jc w:val="center"/>
              <w:rPr>
                <w:rFonts w:ascii="微软雅黑" w:eastAsia="微软雅黑" w:hAnsi="微软雅黑" w:cs="微软雅黑"/>
                <w:sz w:val="22"/>
                <w:szCs w:val="22"/>
              </w:rPr>
            </w:pPr>
            <w:r>
              <w:rPr>
                <w:rFonts w:ascii="微软雅黑" w:eastAsia="微软雅黑" w:hAnsi="微软雅黑" w:cs="微软雅黑" w:hint="eastAsia"/>
                <w:sz w:val="22"/>
                <w:szCs w:val="22"/>
              </w:rPr>
              <w:t>4</w:t>
            </w:r>
          </w:p>
        </w:tc>
        <w:tc>
          <w:tcPr>
            <w:tcW w:w="2890" w:type="dxa"/>
            <w:vAlign w:val="center"/>
          </w:tcPr>
          <w:p w:rsidR="004C7FCF" w:rsidRDefault="004C7FCF" w:rsidP="00F26BC8">
            <w:pPr>
              <w:jc w:val="center"/>
              <w:rPr>
                <w:rFonts w:ascii="微软雅黑" w:eastAsia="微软雅黑" w:hAnsi="微软雅黑" w:cs="微软雅黑"/>
                <w:sz w:val="22"/>
                <w:szCs w:val="22"/>
              </w:rPr>
            </w:pPr>
            <w:r>
              <w:rPr>
                <w:rFonts w:ascii="微软雅黑" w:eastAsia="微软雅黑" w:hAnsi="微软雅黑" w:cs="微软雅黑" w:hint="eastAsia"/>
                <w:sz w:val="22"/>
                <w:szCs w:val="22"/>
              </w:rPr>
              <w:t>个人</w:t>
            </w:r>
          </w:p>
        </w:tc>
        <w:tc>
          <w:tcPr>
            <w:tcW w:w="2491" w:type="dxa"/>
            <w:vAlign w:val="center"/>
          </w:tcPr>
          <w:p w:rsidR="004C7FCF" w:rsidRDefault="004C7FCF" w:rsidP="00F26BC8">
            <w:pPr>
              <w:jc w:val="center"/>
              <w:rPr>
                <w:rFonts w:ascii="微软雅黑" w:eastAsia="微软雅黑" w:hAnsi="微软雅黑" w:cs="微软雅黑"/>
                <w:sz w:val="22"/>
                <w:szCs w:val="22"/>
              </w:rPr>
            </w:pPr>
            <w:r>
              <w:rPr>
                <w:rFonts w:ascii="微软雅黑" w:eastAsia="微软雅黑" w:hAnsi="微软雅黑" w:cs="微软雅黑" w:hint="eastAsia"/>
                <w:sz w:val="22"/>
                <w:szCs w:val="22"/>
              </w:rPr>
              <w:t xml:space="preserve"> 1,853,098.58 </w:t>
            </w:r>
          </w:p>
        </w:tc>
        <w:tc>
          <w:tcPr>
            <w:tcW w:w="2491" w:type="dxa"/>
            <w:vAlign w:val="center"/>
          </w:tcPr>
          <w:p w:rsidR="004C7FCF" w:rsidRDefault="004C7FCF" w:rsidP="00F26BC8">
            <w:pPr>
              <w:jc w:val="center"/>
              <w:rPr>
                <w:rFonts w:ascii="微软雅黑" w:eastAsia="微软雅黑" w:hAnsi="微软雅黑" w:cs="微软雅黑"/>
                <w:sz w:val="22"/>
                <w:szCs w:val="22"/>
              </w:rPr>
            </w:pPr>
            <w:r>
              <w:rPr>
                <w:rFonts w:ascii="微软雅黑" w:eastAsia="微软雅黑" w:hAnsi="微软雅黑" w:cs="微软雅黑" w:hint="eastAsia"/>
                <w:sz w:val="22"/>
                <w:szCs w:val="22"/>
              </w:rPr>
              <w:t>0.15%</w:t>
            </w:r>
          </w:p>
        </w:tc>
      </w:tr>
      <w:tr w:rsidR="004C7FCF" w:rsidTr="00F26BC8">
        <w:trPr>
          <w:trHeight w:val="510"/>
        </w:trPr>
        <w:tc>
          <w:tcPr>
            <w:tcW w:w="2090" w:type="dxa"/>
            <w:vAlign w:val="center"/>
          </w:tcPr>
          <w:p w:rsidR="004C7FCF" w:rsidRDefault="004C7FCF" w:rsidP="00F26BC8">
            <w:pPr>
              <w:jc w:val="center"/>
              <w:rPr>
                <w:rFonts w:ascii="微软雅黑" w:eastAsia="微软雅黑" w:hAnsi="微软雅黑" w:cs="微软雅黑"/>
                <w:sz w:val="22"/>
                <w:szCs w:val="22"/>
              </w:rPr>
            </w:pPr>
            <w:r>
              <w:rPr>
                <w:rFonts w:ascii="微软雅黑" w:eastAsia="微软雅黑" w:hAnsi="微软雅黑" w:cs="微软雅黑" w:hint="eastAsia"/>
                <w:sz w:val="22"/>
                <w:szCs w:val="22"/>
              </w:rPr>
              <w:t>5</w:t>
            </w:r>
          </w:p>
        </w:tc>
        <w:tc>
          <w:tcPr>
            <w:tcW w:w="2890" w:type="dxa"/>
            <w:vAlign w:val="center"/>
          </w:tcPr>
          <w:p w:rsidR="004C7FCF" w:rsidRDefault="004C7FCF" w:rsidP="00F26BC8">
            <w:pPr>
              <w:jc w:val="center"/>
              <w:rPr>
                <w:rFonts w:ascii="微软雅黑" w:eastAsia="微软雅黑" w:hAnsi="微软雅黑" w:cs="微软雅黑"/>
                <w:sz w:val="22"/>
                <w:szCs w:val="22"/>
              </w:rPr>
            </w:pPr>
            <w:r>
              <w:rPr>
                <w:rFonts w:ascii="微软雅黑" w:eastAsia="微软雅黑" w:hAnsi="微软雅黑" w:cs="微软雅黑" w:hint="eastAsia"/>
                <w:sz w:val="22"/>
                <w:szCs w:val="22"/>
              </w:rPr>
              <w:t>个人</w:t>
            </w:r>
          </w:p>
        </w:tc>
        <w:tc>
          <w:tcPr>
            <w:tcW w:w="2491" w:type="dxa"/>
            <w:vAlign w:val="center"/>
          </w:tcPr>
          <w:p w:rsidR="004C7FCF" w:rsidRDefault="004C7FCF" w:rsidP="00F26BC8">
            <w:pPr>
              <w:jc w:val="center"/>
              <w:rPr>
                <w:rFonts w:ascii="微软雅黑" w:eastAsia="微软雅黑" w:hAnsi="微软雅黑" w:cs="微软雅黑"/>
                <w:sz w:val="22"/>
                <w:szCs w:val="22"/>
              </w:rPr>
            </w:pPr>
            <w:r>
              <w:rPr>
                <w:rFonts w:ascii="微软雅黑" w:eastAsia="微软雅黑" w:hAnsi="微软雅黑" w:cs="微软雅黑" w:hint="eastAsia"/>
                <w:sz w:val="22"/>
                <w:szCs w:val="22"/>
              </w:rPr>
              <w:t xml:space="preserve"> 1,670,220.91 </w:t>
            </w:r>
          </w:p>
        </w:tc>
        <w:tc>
          <w:tcPr>
            <w:tcW w:w="2491" w:type="dxa"/>
            <w:vAlign w:val="center"/>
          </w:tcPr>
          <w:p w:rsidR="004C7FCF" w:rsidRDefault="004C7FCF" w:rsidP="00F26BC8">
            <w:pPr>
              <w:jc w:val="center"/>
              <w:rPr>
                <w:rFonts w:ascii="微软雅黑" w:eastAsia="微软雅黑" w:hAnsi="微软雅黑" w:cs="微软雅黑"/>
                <w:sz w:val="22"/>
                <w:szCs w:val="22"/>
              </w:rPr>
            </w:pPr>
            <w:r>
              <w:rPr>
                <w:rFonts w:ascii="微软雅黑" w:eastAsia="微软雅黑" w:hAnsi="微软雅黑" w:cs="微软雅黑" w:hint="eastAsia"/>
                <w:sz w:val="22"/>
                <w:szCs w:val="22"/>
              </w:rPr>
              <w:t>0.13%</w:t>
            </w:r>
          </w:p>
        </w:tc>
      </w:tr>
      <w:tr w:rsidR="004C7FCF" w:rsidTr="00F26BC8">
        <w:trPr>
          <w:trHeight w:val="510"/>
        </w:trPr>
        <w:tc>
          <w:tcPr>
            <w:tcW w:w="2090" w:type="dxa"/>
            <w:vAlign w:val="center"/>
          </w:tcPr>
          <w:p w:rsidR="004C7FCF" w:rsidRDefault="004C7FCF" w:rsidP="00F26BC8">
            <w:pPr>
              <w:jc w:val="center"/>
              <w:rPr>
                <w:rFonts w:ascii="微软雅黑" w:eastAsia="微软雅黑" w:hAnsi="微软雅黑" w:cs="微软雅黑"/>
                <w:sz w:val="22"/>
                <w:szCs w:val="22"/>
              </w:rPr>
            </w:pPr>
            <w:r>
              <w:rPr>
                <w:rFonts w:ascii="微软雅黑" w:eastAsia="微软雅黑" w:hAnsi="微软雅黑" w:cs="微软雅黑" w:hint="eastAsia"/>
                <w:sz w:val="22"/>
                <w:szCs w:val="22"/>
              </w:rPr>
              <w:t>6</w:t>
            </w:r>
          </w:p>
        </w:tc>
        <w:tc>
          <w:tcPr>
            <w:tcW w:w="2890" w:type="dxa"/>
            <w:vAlign w:val="center"/>
          </w:tcPr>
          <w:p w:rsidR="004C7FCF" w:rsidRDefault="004C7FCF" w:rsidP="00F26BC8">
            <w:pPr>
              <w:jc w:val="center"/>
              <w:rPr>
                <w:rFonts w:ascii="微软雅黑" w:eastAsia="微软雅黑" w:hAnsi="微软雅黑" w:cs="微软雅黑"/>
                <w:sz w:val="22"/>
                <w:szCs w:val="22"/>
              </w:rPr>
            </w:pPr>
            <w:r>
              <w:rPr>
                <w:rFonts w:ascii="微软雅黑" w:eastAsia="微软雅黑" w:hAnsi="微软雅黑" w:cs="微软雅黑" w:hint="eastAsia"/>
                <w:sz w:val="22"/>
                <w:szCs w:val="22"/>
              </w:rPr>
              <w:t>个人</w:t>
            </w:r>
          </w:p>
        </w:tc>
        <w:tc>
          <w:tcPr>
            <w:tcW w:w="2491" w:type="dxa"/>
            <w:vAlign w:val="center"/>
          </w:tcPr>
          <w:p w:rsidR="004C7FCF" w:rsidRDefault="004C7FCF" w:rsidP="00F26BC8">
            <w:pPr>
              <w:jc w:val="center"/>
              <w:rPr>
                <w:rFonts w:ascii="微软雅黑" w:eastAsia="微软雅黑" w:hAnsi="微软雅黑" w:cs="微软雅黑"/>
                <w:sz w:val="22"/>
                <w:szCs w:val="22"/>
              </w:rPr>
            </w:pPr>
            <w:r>
              <w:rPr>
                <w:rFonts w:ascii="微软雅黑" w:eastAsia="微软雅黑" w:hAnsi="微软雅黑" w:cs="微软雅黑" w:hint="eastAsia"/>
                <w:sz w:val="22"/>
                <w:szCs w:val="22"/>
              </w:rPr>
              <w:t xml:space="preserve"> 1,590,035.01 </w:t>
            </w:r>
          </w:p>
        </w:tc>
        <w:tc>
          <w:tcPr>
            <w:tcW w:w="2491" w:type="dxa"/>
            <w:vAlign w:val="center"/>
          </w:tcPr>
          <w:p w:rsidR="004C7FCF" w:rsidRDefault="004C7FCF" w:rsidP="00F26BC8">
            <w:pPr>
              <w:jc w:val="center"/>
              <w:rPr>
                <w:rFonts w:ascii="微软雅黑" w:eastAsia="微软雅黑" w:hAnsi="微软雅黑" w:cs="微软雅黑"/>
                <w:sz w:val="22"/>
                <w:szCs w:val="22"/>
              </w:rPr>
            </w:pPr>
            <w:r>
              <w:rPr>
                <w:rFonts w:ascii="微软雅黑" w:eastAsia="微软雅黑" w:hAnsi="微软雅黑" w:cs="微软雅黑" w:hint="eastAsia"/>
                <w:sz w:val="22"/>
                <w:szCs w:val="22"/>
              </w:rPr>
              <w:t>0.13%</w:t>
            </w:r>
          </w:p>
        </w:tc>
      </w:tr>
      <w:tr w:rsidR="004C7FCF" w:rsidTr="00F26BC8">
        <w:trPr>
          <w:trHeight w:val="510"/>
        </w:trPr>
        <w:tc>
          <w:tcPr>
            <w:tcW w:w="2090" w:type="dxa"/>
            <w:vAlign w:val="center"/>
          </w:tcPr>
          <w:p w:rsidR="004C7FCF" w:rsidRDefault="004C7FCF" w:rsidP="00F26BC8">
            <w:pPr>
              <w:jc w:val="center"/>
              <w:rPr>
                <w:rFonts w:ascii="微软雅黑" w:eastAsia="微软雅黑" w:hAnsi="微软雅黑" w:cs="微软雅黑"/>
                <w:sz w:val="22"/>
                <w:szCs w:val="22"/>
              </w:rPr>
            </w:pPr>
            <w:r>
              <w:rPr>
                <w:rFonts w:ascii="微软雅黑" w:eastAsia="微软雅黑" w:hAnsi="微软雅黑" w:cs="微软雅黑" w:hint="eastAsia"/>
                <w:sz w:val="22"/>
                <w:szCs w:val="22"/>
              </w:rPr>
              <w:t>7</w:t>
            </w:r>
          </w:p>
        </w:tc>
        <w:tc>
          <w:tcPr>
            <w:tcW w:w="2890" w:type="dxa"/>
            <w:vAlign w:val="center"/>
          </w:tcPr>
          <w:p w:rsidR="004C7FCF" w:rsidRDefault="004C7FCF" w:rsidP="00F26BC8">
            <w:pPr>
              <w:jc w:val="center"/>
              <w:rPr>
                <w:rFonts w:ascii="微软雅黑" w:eastAsia="微软雅黑" w:hAnsi="微软雅黑" w:cs="微软雅黑"/>
                <w:sz w:val="22"/>
                <w:szCs w:val="22"/>
              </w:rPr>
            </w:pPr>
            <w:r>
              <w:rPr>
                <w:rFonts w:ascii="微软雅黑" w:eastAsia="微软雅黑" w:hAnsi="微软雅黑" w:cs="微软雅黑" w:hint="eastAsia"/>
                <w:sz w:val="22"/>
                <w:szCs w:val="22"/>
              </w:rPr>
              <w:t>个人</w:t>
            </w:r>
          </w:p>
        </w:tc>
        <w:tc>
          <w:tcPr>
            <w:tcW w:w="2491" w:type="dxa"/>
            <w:vAlign w:val="center"/>
          </w:tcPr>
          <w:p w:rsidR="004C7FCF" w:rsidRDefault="004C7FCF" w:rsidP="00F26BC8">
            <w:pPr>
              <w:jc w:val="center"/>
              <w:rPr>
                <w:rFonts w:ascii="微软雅黑" w:eastAsia="微软雅黑" w:hAnsi="微软雅黑" w:cs="微软雅黑"/>
                <w:sz w:val="22"/>
                <w:szCs w:val="22"/>
              </w:rPr>
            </w:pPr>
            <w:r>
              <w:rPr>
                <w:rFonts w:ascii="微软雅黑" w:eastAsia="微软雅黑" w:hAnsi="微软雅黑" w:cs="微软雅黑" w:hint="eastAsia"/>
                <w:sz w:val="22"/>
                <w:szCs w:val="22"/>
              </w:rPr>
              <w:t xml:space="preserve"> 1,579,389.33 </w:t>
            </w:r>
          </w:p>
        </w:tc>
        <w:tc>
          <w:tcPr>
            <w:tcW w:w="2491" w:type="dxa"/>
            <w:vAlign w:val="center"/>
          </w:tcPr>
          <w:p w:rsidR="004C7FCF" w:rsidRDefault="004C7FCF" w:rsidP="00F26BC8">
            <w:pPr>
              <w:jc w:val="center"/>
              <w:rPr>
                <w:rFonts w:ascii="微软雅黑" w:eastAsia="微软雅黑" w:hAnsi="微软雅黑" w:cs="微软雅黑"/>
                <w:sz w:val="22"/>
                <w:szCs w:val="22"/>
              </w:rPr>
            </w:pPr>
            <w:r>
              <w:rPr>
                <w:rFonts w:ascii="微软雅黑" w:eastAsia="微软雅黑" w:hAnsi="微软雅黑" w:cs="微软雅黑" w:hint="eastAsia"/>
                <w:sz w:val="22"/>
                <w:szCs w:val="22"/>
              </w:rPr>
              <w:t>0.13%</w:t>
            </w:r>
          </w:p>
        </w:tc>
      </w:tr>
      <w:tr w:rsidR="004C7FCF" w:rsidTr="00F26BC8">
        <w:trPr>
          <w:trHeight w:val="510"/>
        </w:trPr>
        <w:tc>
          <w:tcPr>
            <w:tcW w:w="2090" w:type="dxa"/>
            <w:vAlign w:val="center"/>
          </w:tcPr>
          <w:p w:rsidR="004C7FCF" w:rsidRDefault="004C7FCF" w:rsidP="00F26BC8">
            <w:pPr>
              <w:jc w:val="center"/>
              <w:rPr>
                <w:rFonts w:ascii="微软雅黑" w:eastAsia="微软雅黑" w:hAnsi="微软雅黑" w:cs="微软雅黑"/>
                <w:sz w:val="22"/>
                <w:szCs w:val="22"/>
              </w:rPr>
            </w:pPr>
            <w:r>
              <w:rPr>
                <w:rFonts w:ascii="微软雅黑" w:eastAsia="微软雅黑" w:hAnsi="微软雅黑" w:cs="微软雅黑" w:hint="eastAsia"/>
                <w:sz w:val="22"/>
                <w:szCs w:val="22"/>
              </w:rPr>
              <w:t>8</w:t>
            </w:r>
          </w:p>
        </w:tc>
        <w:tc>
          <w:tcPr>
            <w:tcW w:w="2890" w:type="dxa"/>
            <w:vAlign w:val="center"/>
          </w:tcPr>
          <w:p w:rsidR="004C7FCF" w:rsidRDefault="004C7FCF" w:rsidP="00F26BC8">
            <w:pPr>
              <w:jc w:val="center"/>
              <w:rPr>
                <w:rFonts w:ascii="微软雅黑" w:eastAsia="微软雅黑" w:hAnsi="微软雅黑" w:cs="微软雅黑"/>
                <w:sz w:val="22"/>
                <w:szCs w:val="22"/>
              </w:rPr>
            </w:pPr>
            <w:r>
              <w:rPr>
                <w:rFonts w:ascii="微软雅黑" w:eastAsia="微软雅黑" w:hAnsi="微软雅黑" w:cs="微软雅黑" w:hint="eastAsia"/>
                <w:sz w:val="22"/>
                <w:szCs w:val="22"/>
              </w:rPr>
              <w:t>个人</w:t>
            </w:r>
          </w:p>
        </w:tc>
        <w:tc>
          <w:tcPr>
            <w:tcW w:w="2491" w:type="dxa"/>
            <w:vAlign w:val="center"/>
          </w:tcPr>
          <w:p w:rsidR="004C7FCF" w:rsidRDefault="004C7FCF" w:rsidP="00F26BC8">
            <w:pPr>
              <w:jc w:val="center"/>
              <w:rPr>
                <w:rFonts w:ascii="微软雅黑" w:eastAsia="微软雅黑" w:hAnsi="微软雅黑" w:cs="微软雅黑"/>
                <w:sz w:val="22"/>
                <w:szCs w:val="22"/>
              </w:rPr>
            </w:pPr>
            <w:r>
              <w:rPr>
                <w:rFonts w:ascii="微软雅黑" w:eastAsia="微软雅黑" w:hAnsi="微软雅黑" w:cs="微软雅黑" w:hint="eastAsia"/>
                <w:sz w:val="22"/>
                <w:szCs w:val="22"/>
              </w:rPr>
              <w:t xml:space="preserve"> 1,518,323.23 </w:t>
            </w:r>
          </w:p>
        </w:tc>
        <w:tc>
          <w:tcPr>
            <w:tcW w:w="2491" w:type="dxa"/>
            <w:vAlign w:val="center"/>
          </w:tcPr>
          <w:p w:rsidR="004C7FCF" w:rsidRDefault="004C7FCF" w:rsidP="00F26BC8">
            <w:pPr>
              <w:jc w:val="center"/>
              <w:rPr>
                <w:rFonts w:ascii="微软雅黑" w:eastAsia="微软雅黑" w:hAnsi="微软雅黑" w:cs="微软雅黑"/>
                <w:sz w:val="22"/>
                <w:szCs w:val="22"/>
              </w:rPr>
            </w:pPr>
            <w:r>
              <w:rPr>
                <w:rFonts w:ascii="微软雅黑" w:eastAsia="微软雅黑" w:hAnsi="微软雅黑" w:cs="微软雅黑" w:hint="eastAsia"/>
                <w:sz w:val="22"/>
                <w:szCs w:val="22"/>
              </w:rPr>
              <w:t>0.12%</w:t>
            </w:r>
          </w:p>
        </w:tc>
      </w:tr>
      <w:tr w:rsidR="004C7FCF" w:rsidTr="00F26BC8">
        <w:trPr>
          <w:trHeight w:val="510"/>
        </w:trPr>
        <w:tc>
          <w:tcPr>
            <w:tcW w:w="2090" w:type="dxa"/>
            <w:vAlign w:val="center"/>
          </w:tcPr>
          <w:p w:rsidR="004C7FCF" w:rsidRDefault="004C7FCF" w:rsidP="00F26BC8">
            <w:pPr>
              <w:jc w:val="center"/>
              <w:rPr>
                <w:rFonts w:ascii="微软雅黑" w:eastAsia="微软雅黑" w:hAnsi="微软雅黑" w:cs="微软雅黑"/>
                <w:sz w:val="22"/>
                <w:szCs w:val="22"/>
              </w:rPr>
            </w:pPr>
            <w:r>
              <w:rPr>
                <w:rFonts w:ascii="微软雅黑" w:eastAsia="微软雅黑" w:hAnsi="微软雅黑" w:cs="微软雅黑" w:hint="eastAsia"/>
                <w:sz w:val="22"/>
                <w:szCs w:val="22"/>
              </w:rPr>
              <w:t>9</w:t>
            </w:r>
          </w:p>
        </w:tc>
        <w:tc>
          <w:tcPr>
            <w:tcW w:w="2890" w:type="dxa"/>
            <w:vAlign w:val="center"/>
          </w:tcPr>
          <w:p w:rsidR="004C7FCF" w:rsidRDefault="004C7FCF" w:rsidP="00F26BC8">
            <w:pPr>
              <w:jc w:val="center"/>
              <w:rPr>
                <w:rFonts w:ascii="微软雅黑" w:eastAsia="微软雅黑" w:hAnsi="微软雅黑" w:cs="微软雅黑"/>
                <w:sz w:val="22"/>
                <w:szCs w:val="22"/>
              </w:rPr>
            </w:pPr>
            <w:r>
              <w:rPr>
                <w:rFonts w:ascii="微软雅黑" w:eastAsia="微软雅黑" w:hAnsi="微软雅黑" w:cs="微软雅黑" w:hint="eastAsia"/>
                <w:sz w:val="22"/>
                <w:szCs w:val="22"/>
              </w:rPr>
              <w:t>个人</w:t>
            </w:r>
          </w:p>
        </w:tc>
        <w:tc>
          <w:tcPr>
            <w:tcW w:w="2491" w:type="dxa"/>
            <w:vAlign w:val="center"/>
          </w:tcPr>
          <w:p w:rsidR="004C7FCF" w:rsidRDefault="004C7FCF" w:rsidP="00F26BC8">
            <w:pPr>
              <w:jc w:val="center"/>
              <w:rPr>
                <w:rFonts w:ascii="微软雅黑" w:eastAsia="微软雅黑" w:hAnsi="微软雅黑" w:cs="微软雅黑"/>
                <w:sz w:val="22"/>
                <w:szCs w:val="22"/>
              </w:rPr>
            </w:pPr>
            <w:r>
              <w:rPr>
                <w:rFonts w:ascii="微软雅黑" w:eastAsia="微软雅黑" w:hAnsi="微软雅黑" w:cs="微软雅黑" w:hint="eastAsia"/>
                <w:sz w:val="22"/>
                <w:szCs w:val="22"/>
              </w:rPr>
              <w:t xml:space="preserve"> 1,511,561.41 </w:t>
            </w:r>
          </w:p>
        </w:tc>
        <w:tc>
          <w:tcPr>
            <w:tcW w:w="2491" w:type="dxa"/>
            <w:vAlign w:val="center"/>
          </w:tcPr>
          <w:p w:rsidR="004C7FCF" w:rsidRDefault="004C7FCF" w:rsidP="00F26BC8">
            <w:pPr>
              <w:jc w:val="center"/>
              <w:rPr>
                <w:rFonts w:ascii="微软雅黑" w:eastAsia="微软雅黑" w:hAnsi="微软雅黑" w:cs="微软雅黑"/>
                <w:sz w:val="22"/>
                <w:szCs w:val="22"/>
              </w:rPr>
            </w:pPr>
            <w:r>
              <w:rPr>
                <w:rFonts w:ascii="微软雅黑" w:eastAsia="微软雅黑" w:hAnsi="微软雅黑" w:cs="微软雅黑" w:hint="eastAsia"/>
                <w:sz w:val="22"/>
                <w:szCs w:val="22"/>
              </w:rPr>
              <w:t>0.12%</w:t>
            </w:r>
          </w:p>
        </w:tc>
      </w:tr>
      <w:tr w:rsidR="004C7FCF" w:rsidTr="00F26BC8">
        <w:trPr>
          <w:trHeight w:val="510"/>
        </w:trPr>
        <w:tc>
          <w:tcPr>
            <w:tcW w:w="2090" w:type="dxa"/>
            <w:vAlign w:val="center"/>
          </w:tcPr>
          <w:p w:rsidR="004C7FCF" w:rsidRDefault="004C7FCF" w:rsidP="00F26BC8">
            <w:pPr>
              <w:jc w:val="center"/>
              <w:rPr>
                <w:rFonts w:ascii="微软雅黑" w:eastAsia="微软雅黑" w:hAnsi="微软雅黑" w:cs="微软雅黑"/>
                <w:sz w:val="22"/>
                <w:szCs w:val="22"/>
              </w:rPr>
            </w:pPr>
            <w:r>
              <w:rPr>
                <w:rFonts w:ascii="微软雅黑" w:eastAsia="微软雅黑" w:hAnsi="微软雅黑" w:cs="微软雅黑" w:hint="eastAsia"/>
                <w:sz w:val="22"/>
                <w:szCs w:val="22"/>
              </w:rPr>
              <w:t>10</w:t>
            </w:r>
          </w:p>
        </w:tc>
        <w:tc>
          <w:tcPr>
            <w:tcW w:w="2890" w:type="dxa"/>
            <w:vAlign w:val="center"/>
          </w:tcPr>
          <w:p w:rsidR="004C7FCF" w:rsidRDefault="004C7FCF" w:rsidP="00F26BC8">
            <w:pPr>
              <w:jc w:val="center"/>
              <w:rPr>
                <w:rFonts w:ascii="微软雅黑" w:eastAsia="微软雅黑" w:hAnsi="微软雅黑" w:cs="微软雅黑"/>
                <w:sz w:val="22"/>
                <w:szCs w:val="22"/>
              </w:rPr>
            </w:pPr>
            <w:r>
              <w:rPr>
                <w:rFonts w:ascii="微软雅黑" w:eastAsia="微软雅黑" w:hAnsi="微软雅黑" w:cs="微软雅黑" w:hint="eastAsia"/>
                <w:sz w:val="22"/>
                <w:szCs w:val="22"/>
              </w:rPr>
              <w:t>个人</w:t>
            </w:r>
          </w:p>
        </w:tc>
        <w:tc>
          <w:tcPr>
            <w:tcW w:w="2491" w:type="dxa"/>
            <w:vAlign w:val="center"/>
          </w:tcPr>
          <w:p w:rsidR="004C7FCF" w:rsidRDefault="004C7FCF" w:rsidP="00F26BC8">
            <w:pPr>
              <w:jc w:val="center"/>
              <w:rPr>
                <w:rFonts w:ascii="微软雅黑" w:eastAsia="微软雅黑" w:hAnsi="微软雅黑" w:cs="微软雅黑"/>
                <w:sz w:val="22"/>
                <w:szCs w:val="22"/>
              </w:rPr>
            </w:pPr>
            <w:r>
              <w:rPr>
                <w:rFonts w:ascii="微软雅黑" w:eastAsia="微软雅黑" w:hAnsi="微软雅黑" w:cs="微软雅黑" w:hint="eastAsia"/>
                <w:sz w:val="22"/>
                <w:szCs w:val="22"/>
              </w:rPr>
              <w:t xml:space="preserve"> 1,504,251.59 </w:t>
            </w:r>
          </w:p>
        </w:tc>
        <w:tc>
          <w:tcPr>
            <w:tcW w:w="2491" w:type="dxa"/>
            <w:vAlign w:val="center"/>
          </w:tcPr>
          <w:p w:rsidR="004C7FCF" w:rsidRDefault="004C7FCF" w:rsidP="00F26BC8">
            <w:pPr>
              <w:jc w:val="center"/>
              <w:rPr>
                <w:rFonts w:ascii="微软雅黑" w:eastAsia="微软雅黑" w:hAnsi="微软雅黑" w:cs="微软雅黑"/>
                <w:sz w:val="22"/>
                <w:szCs w:val="22"/>
              </w:rPr>
            </w:pPr>
            <w:r>
              <w:rPr>
                <w:rFonts w:ascii="微软雅黑" w:eastAsia="微软雅黑" w:hAnsi="微软雅黑" w:cs="微软雅黑" w:hint="eastAsia"/>
                <w:sz w:val="22"/>
                <w:szCs w:val="22"/>
              </w:rPr>
              <w:t>0.12%</w:t>
            </w:r>
          </w:p>
        </w:tc>
      </w:tr>
      <w:tr w:rsidR="004C7FCF" w:rsidTr="00F26BC8">
        <w:trPr>
          <w:trHeight w:val="567"/>
        </w:trPr>
        <w:tc>
          <w:tcPr>
            <w:tcW w:w="4980" w:type="dxa"/>
            <w:gridSpan w:val="2"/>
            <w:vAlign w:val="center"/>
          </w:tcPr>
          <w:p w:rsidR="004C7FCF" w:rsidRDefault="004C7FCF" w:rsidP="00F26BC8">
            <w:pPr>
              <w:jc w:val="center"/>
              <w:rPr>
                <w:rFonts w:ascii="微软雅黑" w:eastAsia="微软雅黑" w:hAnsi="微软雅黑" w:cs="微软雅黑"/>
                <w:sz w:val="22"/>
                <w:szCs w:val="22"/>
              </w:rPr>
            </w:pPr>
            <w:r>
              <w:rPr>
                <w:rFonts w:ascii="微软雅黑" w:eastAsia="微软雅黑" w:hAnsi="微软雅黑" w:cs="微软雅黑" w:hint="eastAsia"/>
                <w:sz w:val="22"/>
                <w:szCs w:val="22"/>
              </w:rPr>
              <w:t>合计比例</w:t>
            </w:r>
          </w:p>
        </w:tc>
        <w:tc>
          <w:tcPr>
            <w:tcW w:w="2491" w:type="dxa"/>
            <w:vAlign w:val="center"/>
          </w:tcPr>
          <w:p w:rsidR="004C7FCF" w:rsidRDefault="004C7FCF" w:rsidP="00F26BC8">
            <w:pPr>
              <w:jc w:val="center"/>
              <w:rPr>
                <w:rFonts w:ascii="微软雅黑" w:eastAsia="微软雅黑" w:hAnsi="微软雅黑" w:cs="微软雅黑"/>
                <w:sz w:val="22"/>
                <w:szCs w:val="22"/>
              </w:rPr>
            </w:pPr>
            <w:r>
              <w:rPr>
                <w:rFonts w:ascii="微软雅黑" w:eastAsia="微软雅黑" w:hAnsi="微软雅黑" w:cs="微软雅黑" w:hint="eastAsia"/>
                <w:sz w:val="22"/>
                <w:szCs w:val="22"/>
              </w:rPr>
              <w:t xml:space="preserve"> 22,047,977.80</w:t>
            </w:r>
          </w:p>
        </w:tc>
        <w:tc>
          <w:tcPr>
            <w:tcW w:w="2491" w:type="dxa"/>
            <w:vAlign w:val="center"/>
          </w:tcPr>
          <w:p w:rsidR="004C7FCF" w:rsidRDefault="004C7FCF" w:rsidP="00F26BC8">
            <w:pPr>
              <w:jc w:val="center"/>
              <w:rPr>
                <w:rFonts w:ascii="微软雅黑" w:eastAsia="微软雅黑" w:hAnsi="微软雅黑" w:cs="微软雅黑"/>
                <w:sz w:val="22"/>
                <w:szCs w:val="22"/>
              </w:rPr>
            </w:pPr>
            <w:r>
              <w:rPr>
                <w:rFonts w:ascii="微软雅黑" w:eastAsia="微软雅黑" w:hAnsi="微软雅黑" w:cs="微软雅黑" w:hint="eastAsia"/>
                <w:sz w:val="22"/>
                <w:szCs w:val="22"/>
              </w:rPr>
              <w:t>1.77%</w:t>
            </w:r>
          </w:p>
        </w:tc>
      </w:tr>
    </w:tbl>
    <w:p w:rsidR="004C7FCF" w:rsidRDefault="004C7FCF">
      <w:pPr>
        <w:rPr>
          <w:rFonts w:ascii="微软雅黑" w:eastAsia="微软雅黑" w:hAnsi="微软雅黑" w:hint="eastAsia"/>
          <w:sz w:val="28"/>
          <w:szCs w:val="28"/>
        </w:rPr>
      </w:pPr>
      <w:bookmarkStart w:id="0" w:name="_GoBack"/>
      <w:bookmarkEnd w:id="0"/>
    </w:p>
    <w:p w:rsidR="00591B19" w:rsidRDefault="004C7FCF">
      <w:pPr>
        <w:rPr>
          <w:rFonts w:ascii="微软雅黑" w:eastAsia="微软雅黑" w:hAnsi="微软雅黑"/>
          <w:sz w:val="28"/>
          <w:szCs w:val="28"/>
        </w:rPr>
      </w:pPr>
      <w:r>
        <w:rPr>
          <w:rFonts w:ascii="微软雅黑" w:eastAsia="微软雅黑" w:hAnsi="微软雅黑" w:hint="eastAsia"/>
          <w:sz w:val="28"/>
          <w:szCs w:val="28"/>
        </w:rPr>
        <w:t xml:space="preserve">                                                                  </w:t>
      </w:r>
      <w:r>
        <w:rPr>
          <w:rFonts w:ascii="微软雅黑" w:eastAsia="微软雅黑" w:hAnsi="微软雅黑" w:hint="eastAsia"/>
          <w:sz w:val="28"/>
          <w:szCs w:val="28"/>
        </w:rPr>
        <w:t>珠海华润银行股份有限公司</w:t>
      </w:r>
    </w:p>
    <w:p w:rsidR="00591B19" w:rsidRDefault="004C7FCF">
      <w:r>
        <w:rPr>
          <w:rFonts w:hint="eastAsia"/>
        </w:rPr>
        <w:t xml:space="preserve">                                                                                                                             </w:t>
      </w:r>
      <w:r>
        <w:rPr>
          <w:rFonts w:ascii="微软雅黑" w:eastAsia="微软雅黑" w:hAnsi="微软雅黑" w:cs="微软雅黑" w:hint="eastAsia"/>
          <w:sz w:val="28"/>
          <w:szCs w:val="28"/>
        </w:rPr>
        <w:t>2025</w:t>
      </w:r>
      <w:r>
        <w:rPr>
          <w:rFonts w:ascii="微软雅黑" w:eastAsia="微软雅黑" w:hAnsi="微软雅黑" w:cs="微软雅黑" w:hint="eastAsia"/>
          <w:sz w:val="28"/>
          <w:szCs w:val="28"/>
        </w:rPr>
        <w:t>年</w:t>
      </w:r>
      <w:r>
        <w:rPr>
          <w:rFonts w:ascii="微软雅黑" w:eastAsia="微软雅黑" w:hAnsi="微软雅黑" w:cs="微软雅黑" w:hint="eastAsia"/>
          <w:sz w:val="28"/>
          <w:szCs w:val="28"/>
        </w:rPr>
        <w:t>10</w:t>
      </w:r>
      <w:r>
        <w:rPr>
          <w:rFonts w:ascii="微软雅黑" w:eastAsia="微软雅黑" w:hAnsi="微软雅黑" w:cs="微软雅黑" w:hint="eastAsia"/>
          <w:sz w:val="28"/>
          <w:szCs w:val="28"/>
        </w:rPr>
        <w:t>月</w:t>
      </w:r>
      <w:r>
        <w:rPr>
          <w:rFonts w:ascii="微软雅黑" w:eastAsia="微软雅黑" w:hAnsi="微软雅黑" w:cs="微软雅黑" w:hint="eastAsia"/>
          <w:sz w:val="28"/>
          <w:szCs w:val="28"/>
        </w:rPr>
        <w:t>24</w:t>
      </w:r>
      <w:r>
        <w:rPr>
          <w:rFonts w:ascii="微软雅黑" w:eastAsia="微软雅黑" w:hAnsi="微软雅黑" w:cs="微软雅黑" w:hint="eastAsia"/>
          <w:sz w:val="28"/>
          <w:szCs w:val="28"/>
        </w:rPr>
        <w:t>日</w:t>
      </w:r>
    </w:p>
    <w:p w:rsidR="00591B19" w:rsidRDefault="00591B19"/>
    <w:sectPr w:rsidR="00591B19">
      <w:head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C7FCF">
      <w:r>
        <w:separator/>
      </w:r>
    </w:p>
  </w:endnote>
  <w:endnote w:type="continuationSeparator" w:id="0">
    <w:p w:rsidR="00000000" w:rsidRDefault="004C7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C7FCF">
      <w:r>
        <w:separator/>
      </w:r>
    </w:p>
  </w:footnote>
  <w:footnote w:type="continuationSeparator" w:id="0">
    <w:p w:rsidR="00000000" w:rsidRDefault="004C7F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B19" w:rsidRDefault="00591B1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abstractNum w:abstractNumId="1">
    <w:nsid w:val="4A750718"/>
    <w:multiLevelType w:val="singleLevel"/>
    <w:tmpl w:val="4A750718"/>
    <w:lvl w:ilvl="0">
      <w:start w:val="1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B19"/>
    <w:rsid w:val="004C7FCF"/>
    <w:rsid w:val="00591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767607E-13D2-4A40-823D-57485B1F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caption" w:semiHidden="1" w:unhideWhenUsed="1" w:qFormat="1"/>
    <w:lsdException w:name="annotation reference" w:semiHidden="1" w:uiPriority="99" w:unhideWhenUsed="1" w:qFormat="1"/>
    <w:lsdException w:name="Title" w:qFormat="1"/>
    <w:lsdException w:name="Default Paragraph Font" w:semiHidden="1" w:qFormat="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table" w:styleId="a4">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uiPriority w:val="99"/>
    <w:semiHidden/>
    <w:unhideWhenUsed/>
    <w:qFormat/>
    <w:rPr>
      <w:sz w:val="21"/>
      <w:szCs w:val="21"/>
    </w:rPr>
  </w:style>
  <w:style w:type="paragraph" w:customStyle="1" w:styleId="1">
    <w:name w:val="列出段落1"/>
    <w:basedOn w:val="a"/>
    <w:qFormat/>
    <w:pPr>
      <w:ind w:firstLine="420"/>
    </w:pPr>
    <w:rPr>
      <w:rFonts w:cs="Times New Roman"/>
    </w:rPr>
  </w:style>
  <w:style w:type="character" w:customStyle="1" w:styleId="10">
    <w:name w:val="10"/>
    <w:basedOn w:val="a0"/>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388</Words>
  <Characters>2216</Characters>
  <Application>Microsoft Office Word</Application>
  <DocSecurity>0</DocSecurity>
  <Lines>18</Lines>
  <Paragraphs>5</Paragraphs>
  <ScaleCrop>false</ScaleCrop>
  <Company/>
  <LinksUpToDate>false</LinksUpToDate>
  <CharactersWithSpaces>2599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岳麟雪</cp:lastModifiedBy>
  <cp:revision>2</cp:revision>
  <dcterms:created xsi:type="dcterms:W3CDTF">2023-12-06T10:06:00Z</dcterms:created>
  <dcterms:modified xsi:type="dcterms:W3CDTF">2025-10-14T09:12:00Z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