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润悦1号第475期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润悦1号第475期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C1082924000042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2024年04月10日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3.08%-4.08%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23,973,000.00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25,037,808.22</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1.04441698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1.04441698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451,944.93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24,696,665.52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98.20%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451,944.93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1,730,033.08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6.88%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22,966,632.44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91.32%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451,944.93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24,696,665.52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98.20%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11,999,855.14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47.93%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8,414,089.77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33.61%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4,282,720.61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17.11%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451,944.93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1.81%</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739701220000345830437</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珠海华润银行股份有限公司润悦1号第475期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