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20" w:lineRule="exact"/>
        <w:jc w:val="center"/>
        <w:rPr>
          <w:rFonts w:ascii="微软雅黑" w:hAnsi="微软雅黑" w:eastAsia="微软雅黑"/>
          <w:b/>
          <w:sz w:val="28"/>
          <w:szCs w:val="28"/>
          <w:highlight w:val="none"/>
        </w:rPr>
      </w:pPr>
      <w:r>
        <w:rPr>
          <w:rFonts w:hint="eastAsia" w:ascii="微软雅黑" w:hAnsi="微软雅黑" w:eastAsia="微软雅黑"/>
          <w:b/>
          <w:sz w:val="28"/>
          <w:szCs w:val="28"/>
          <w:highlight w:val="none"/>
        </w:rPr>
        <w:t>珠海华润银行润悦1号第</w:t>
      </w:r>
      <w:r>
        <w:rPr>
          <w:rFonts w:hint="eastAsia" w:ascii="微软雅黑" w:hAnsi="微软雅黑" w:eastAsia="微软雅黑"/>
          <w:b/>
          <w:sz w:val="28"/>
          <w:szCs w:val="28"/>
          <w:highlight w:val="none"/>
          <w:lang w:val="en-US" w:eastAsia="zh-CN"/>
        </w:rPr>
        <w:t>870</w:t>
      </w:r>
      <w:r>
        <w:rPr>
          <w:rFonts w:hint="eastAsia" w:ascii="微软雅黑" w:hAnsi="微软雅黑" w:eastAsia="微软雅黑"/>
          <w:b/>
          <w:sz w:val="28"/>
          <w:szCs w:val="28"/>
          <w:highlight w:val="none"/>
        </w:rPr>
        <w:t>期理财产品说明书</w:t>
      </w:r>
    </w:p>
    <w:p>
      <w:pPr>
        <w:spacing w:line="320" w:lineRule="exact"/>
        <w:rPr>
          <w:rFonts w:ascii="微软雅黑" w:hAnsi="微软雅黑" w:eastAsia="微软雅黑"/>
          <w:szCs w:val="21"/>
          <w:highlight w:val="none"/>
        </w:rPr>
      </w:pPr>
    </w:p>
    <w:p>
      <w:pPr>
        <w:spacing w:line="320" w:lineRule="exact"/>
        <w:rPr>
          <w:rFonts w:ascii="微软雅黑" w:hAnsi="微软雅黑" w:eastAsia="微软雅黑"/>
          <w:b/>
          <w:szCs w:val="21"/>
          <w:highlight w:val="none"/>
        </w:rPr>
      </w:pPr>
      <w:r>
        <w:rPr>
          <w:rFonts w:hint="eastAsia" w:ascii="微软雅黑" w:hAnsi="微软雅黑" w:eastAsia="微软雅黑"/>
          <w:b/>
          <w:szCs w:val="21"/>
          <w:highlight w:val="none"/>
        </w:rPr>
        <w:t xml:space="preserve">一、产品概述 </w:t>
      </w:r>
    </w:p>
    <w:tbl>
      <w:tblPr>
        <w:tblStyle w:val="5"/>
        <w:tblW w:w="9214"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2014"/>
        <w:gridCol w:w="720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top"/>
          </w:tcPr>
          <w:p>
            <w:pPr>
              <w:spacing w:line="320" w:lineRule="exact"/>
              <w:rPr>
                <w:rFonts w:ascii="微软雅黑" w:hAnsi="微软雅黑" w:eastAsia="微软雅黑"/>
                <w:b/>
                <w:szCs w:val="21"/>
                <w:highlight w:val="none"/>
              </w:rPr>
            </w:pPr>
            <w:r>
              <w:rPr>
                <w:rFonts w:hint="eastAsia" w:ascii="微软雅黑" w:hAnsi="微软雅黑" w:eastAsia="微软雅黑"/>
                <w:szCs w:val="21"/>
                <w:highlight w:val="none"/>
              </w:rPr>
              <w:t>产品名称</w:t>
            </w:r>
          </w:p>
        </w:tc>
        <w:tc>
          <w:tcPr>
            <w:tcW w:w="7200" w:type="dxa"/>
            <w:noWrap w:val="0"/>
            <w:vAlign w:val="top"/>
          </w:tcPr>
          <w:p>
            <w:pPr>
              <w:spacing w:line="320" w:lineRule="exact"/>
              <w:rPr>
                <w:rFonts w:ascii="微软雅黑" w:hAnsi="微软雅黑" w:eastAsia="微软雅黑"/>
                <w:b/>
                <w:szCs w:val="21"/>
                <w:highlight w:val="none"/>
              </w:rPr>
            </w:pPr>
            <w:r>
              <w:rPr>
                <w:rFonts w:hint="eastAsia" w:ascii="微软雅黑" w:hAnsi="微软雅黑" w:eastAsia="微软雅黑"/>
                <w:szCs w:val="21"/>
                <w:highlight w:val="none"/>
              </w:rPr>
              <w:t>珠海华润银行润悦1号第</w:t>
            </w:r>
            <w:r>
              <w:rPr>
                <w:rFonts w:hint="eastAsia" w:ascii="微软雅黑" w:hAnsi="微软雅黑" w:eastAsia="微软雅黑"/>
                <w:szCs w:val="21"/>
                <w:highlight w:val="none"/>
                <w:lang w:val="en-US" w:eastAsia="zh-CN"/>
              </w:rPr>
              <w:t>870</w:t>
            </w:r>
            <w:r>
              <w:rPr>
                <w:rFonts w:hint="eastAsia" w:ascii="微软雅黑" w:hAnsi="微软雅黑" w:eastAsia="微软雅黑"/>
                <w:szCs w:val="21"/>
                <w:highlight w:val="none"/>
              </w:rPr>
              <w:t>期理财产品</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产品简称</w:t>
            </w:r>
          </w:p>
        </w:tc>
        <w:tc>
          <w:tcPr>
            <w:tcW w:w="7200"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润悦1号第</w:t>
            </w:r>
            <w:r>
              <w:rPr>
                <w:rFonts w:hint="eastAsia" w:ascii="微软雅黑" w:hAnsi="微软雅黑" w:eastAsia="微软雅黑"/>
                <w:szCs w:val="21"/>
                <w:highlight w:val="none"/>
                <w:lang w:val="en-US" w:eastAsia="zh-CN"/>
              </w:rPr>
              <w:t>870</w:t>
            </w:r>
            <w:r>
              <w:rPr>
                <w:rFonts w:hint="eastAsia" w:ascii="微软雅黑" w:hAnsi="微软雅黑" w:eastAsia="微软雅黑"/>
                <w:szCs w:val="21"/>
                <w:highlight w:val="none"/>
              </w:rPr>
              <w:t>期</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产品代码</w:t>
            </w:r>
          </w:p>
        </w:tc>
        <w:tc>
          <w:tcPr>
            <w:tcW w:w="7200" w:type="dxa"/>
            <w:noWrap w:val="0"/>
            <w:vAlign w:val="top"/>
          </w:tcPr>
          <w:p>
            <w:pPr>
              <w:spacing w:line="320" w:lineRule="exact"/>
              <w:rPr>
                <w:rFonts w:hint="default" w:ascii="微软雅黑" w:hAnsi="微软雅黑" w:eastAsia="微软雅黑"/>
                <w:szCs w:val="21"/>
                <w:highlight w:val="none"/>
                <w:lang w:val="en-US" w:eastAsia="zh-CN"/>
              </w:rPr>
            </w:pPr>
            <w:r>
              <w:rPr>
                <w:rFonts w:hint="eastAsia" w:ascii="微软雅黑" w:hAnsi="微软雅黑" w:eastAsia="微软雅黑"/>
                <w:szCs w:val="21"/>
                <w:highlight w:val="none"/>
                <w:lang w:val="en-US" w:eastAsia="zh-CN"/>
              </w:rPr>
              <w:t>RY10870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center"/>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理财信息登记系统登记编码</w:t>
            </w:r>
          </w:p>
        </w:tc>
        <w:tc>
          <w:tcPr>
            <w:tcW w:w="7200" w:type="dxa"/>
            <w:noWrap w:val="0"/>
            <w:vAlign w:val="center"/>
          </w:tcPr>
          <w:p>
            <w:pPr>
              <w:spacing w:line="320" w:lineRule="exact"/>
              <w:rPr>
                <w:rFonts w:hint="default" w:ascii="微软雅黑" w:hAnsi="微软雅黑" w:eastAsia="微软雅黑"/>
                <w:szCs w:val="21"/>
                <w:highlight w:val="none"/>
                <w:lang w:val="en-US" w:eastAsia="zh-CN"/>
              </w:rPr>
            </w:pPr>
            <w:r>
              <w:rPr>
                <w:rFonts w:hint="eastAsia" w:ascii="微软雅黑" w:hAnsi="微软雅黑" w:eastAsia="微软雅黑"/>
                <w:szCs w:val="21"/>
                <w:highlight w:val="none"/>
              </w:rPr>
              <w:t>C10829250001</w:t>
            </w:r>
            <w:r>
              <w:rPr>
                <w:rFonts w:hint="eastAsia" w:ascii="微软雅黑" w:hAnsi="微软雅黑" w:eastAsia="微软雅黑"/>
                <w:szCs w:val="21"/>
                <w:highlight w:val="none"/>
                <w:lang w:val="en-US" w:eastAsia="zh-CN"/>
              </w:rPr>
              <w:t>72</w:t>
            </w:r>
          </w:p>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客户可根据该登记编码在“中国理财网（</w:t>
            </w:r>
            <w:r>
              <w:rPr>
                <w:rFonts w:ascii="微软雅黑" w:hAnsi="微软雅黑" w:eastAsia="微软雅黑"/>
                <w:szCs w:val="21"/>
                <w:highlight w:val="none"/>
              </w:rPr>
              <w:t>www.chinawealth.com.cn</w:t>
            </w:r>
            <w:r>
              <w:rPr>
                <w:rFonts w:hint="eastAsia" w:ascii="微软雅黑" w:hAnsi="微软雅黑" w:eastAsia="微软雅黑"/>
                <w:szCs w:val="21"/>
                <w:highlight w:val="none"/>
              </w:rPr>
              <w:t>）”查询该产品信息。</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60" w:hRule="atLeast"/>
          <w:jc w:val="center"/>
        </w:trPr>
        <w:tc>
          <w:tcPr>
            <w:tcW w:w="2014" w:type="dxa"/>
            <w:noWrap w:val="0"/>
            <w:vAlign w:val="top"/>
          </w:tcPr>
          <w:p>
            <w:pPr>
              <w:spacing w:line="320" w:lineRule="exact"/>
              <w:rPr>
                <w:rFonts w:ascii="微软雅黑" w:hAnsi="微软雅黑" w:eastAsia="微软雅黑"/>
                <w:b/>
                <w:szCs w:val="21"/>
                <w:highlight w:val="none"/>
              </w:rPr>
            </w:pPr>
            <w:r>
              <w:rPr>
                <w:rFonts w:hint="eastAsia" w:ascii="微软雅黑" w:hAnsi="微软雅黑" w:eastAsia="微软雅黑"/>
                <w:szCs w:val="21"/>
                <w:highlight w:val="none"/>
              </w:rPr>
              <w:t xml:space="preserve">投资及收益币种   </w:t>
            </w:r>
          </w:p>
        </w:tc>
        <w:tc>
          <w:tcPr>
            <w:tcW w:w="7200"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人民币</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top"/>
          </w:tcPr>
          <w:p>
            <w:pPr>
              <w:spacing w:line="320" w:lineRule="exact"/>
              <w:rPr>
                <w:rFonts w:ascii="微软雅黑" w:hAnsi="微软雅黑" w:eastAsia="微软雅黑"/>
                <w:b/>
                <w:szCs w:val="21"/>
                <w:highlight w:val="none"/>
              </w:rPr>
            </w:pPr>
            <w:r>
              <w:rPr>
                <w:rFonts w:hint="eastAsia" w:ascii="微软雅黑" w:hAnsi="微软雅黑" w:eastAsia="微软雅黑"/>
                <w:szCs w:val="21"/>
                <w:highlight w:val="none"/>
              </w:rPr>
              <w:t>产品类型</w:t>
            </w:r>
          </w:p>
        </w:tc>
        <w:tc>
          <w:tcPr>
            <w:tcW w:w="7200"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封闭式、固定收益类净值型产品</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收益类型</w:t>
            </w:r>
          </w:p>
        </w:tc>
        <w:tc>
          <w:tcPr>
            <w:tcW w:w="7200"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非保本浮动收益型</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发行方式</w:t>
            </w:r>
          </w:p>
        </w:tc>
        <w:tc>
          <w:tcPr>
            <w:tcW w:w="7200"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公募</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投资及收益币种</w:t>
            </w:r>
          </w:p>
        </w:tc>
        <w:tc>
          <w:tcPr>
            <w:tcW w:w="7200"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人民币</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产品风险评级</w:t>
            </w:r>
          </w:p>
        </w:tc>
        <w:tc>
          <w:tcPr>
            <w:tcW w:w="7200" w:type="dxa"/>
            <w:noWrap w:val="0"/>
            <w:vAlign w:val="top"/>
          </w:tcPr>
          <w:p>
            <w:pPr>
              <w:spacing w:line="320" w:lineRule="exact"/>
              <w:rPr>
                <w:rFonts w:ascii="微软雅黑" w:hAnsi="微软雅黑" w:eastAsia="微软雅黑"/>
                <w:szCs w:val="21"/>
                <w:highlight w:val="none"/>
              </w:rPr>
            </w:pPr>
            <w:r>
              <w:rPr>
                <w:rFonts w:ascii="微软雅黑" w:hAnsi="微软雅黑" w:eastAsia="微软雅黑"/>
                <w:szCs w:val="21"/>
                <w:highlight w:val="none"/>
              </w:rPr>
              <w:t>R2级</w:t>
            </w:r>
            <w:r>
              <w:rPr>
                <w:rFonts w:hint="eastAsia" w:ascii="微软雅黑" w:hAnsi="微软雅黑" w:eastAsia="微软雅黑"/>
                <w:szCs w:val="21"/>
                <w:highlight w:val="none"/>
              </w:rPr>
              <w:t>（本风险评级为珠海华润银行内部测评结果，仅供客户参考）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适合客户</w:t>
            </w:r>
          </w:p>
        </w:tc>
        <w:tc>
          <w:tcPr>
            <w:tcW w:w="7200"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机构客户和经珠海华润银行（含珠海华润银行认可的其他销售服务机构）评估，评定为稳健型、平衡型、成长型、进取型的个人客户。</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销售渠道</w:t>
            </w:r>
          </w:p>
        </w:tc>
        <w:tc>
          <w:tcPr>
            <w:tcW w:w="7200"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bCs/>
                <w:szCs w:val="21"/>
                <w:highlight w:val="none"/>
              </w:rPr>
              <w:t>珠海华润银行各营业网点或电子销售渠道或经珠海华润银行认可的其他销售服务机构。</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产品规模</w:t>
            </w:r>
          </w:p>
        </w:tc>
        <w:tc>
          <w:tcPr>
            <w:tcW w:w="7200"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募集规模不超过</w:t>
            </w:r>
            <w:r>
              <w:rPr>
                <w:rFonts w:hint="eastAsia" w:ascii="微软雅黑" w:hAnsi="微软雅黑" w:eastAsia="微软雅黑"/>
                <w:szCs w:val="21"/>
                <w:highlight w:val="none"/>
                <w:lang w:val="en-US" w:eastAsia="zh-CN"/>
              </w:rPr>
              <w:t>2亿</w:t>
            </w:r>
            <w:r>
              <w:rPr>
                <w:rFonts w:ascii="微软雅黑" w:hAnsi="微软雅黑" w:eastAsia="微软雅黑"/>
                <w:szCs w:val="21"/>
                <w:highlight w:val="none"/>
              </w:rPr>
              <w:t>元。</w:t>
            </w:r>
          </w:p>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珠海华润银行有权根据实际需要对产品规模进行调整，产品最终募集规模以银行实际募集的金额为准。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成立日</w:t>
            </w:r>
          </w:p>
        </w:tc>
        <w:tc>
          <w:tcPr>
            <w:tcW w:w="7200" w:type="dxa"/>
            <w:noWrap w:val="0"/>
            <w:vAlign w:val="top"/>
          </w:tcPr>
          <w:p>
            <w:pPr>
              <w:spacing w:line="320" w:lineRule="exact"/>
              <w:ind w:firstLine="0" w:firstLineChars="0"/>
              <w:rPr>
                <w:rFonts w:ascii="微软雅黑" w:hAnsi="微软雅黑" w:eastAsia="微软雅黑"/>
                <w:szCs w:val="21"/>
                <w:highlight w:val="none"/>
              </w:rPr>
            </w:pPr>
            <w:r>
              <w:rPr>
                <w:rFonts w:hint="eastAsia" w:ascii="微软雅黑" w:hAnsi="微软雅黑" w:eastAsia="微软雅黑"/>
                <w:szCs w:val="21"/>
                <w:highlight w:val="none"/>
                <w:u w:val="single"/>
                <w:lang w:val="en-US" w:eastAsia="zh-CN"/>
              </w:rPr>
              <w:t>2026</w:t>
            </w:r>
            <w:r>
              <w:rPr>
                <w:rFonts w:hint="eastAsia" w:ascii="微软雅黑" w:hAnsi="微软雅黑" w:eastAsia="微软雅黑"/>
                <w:szCs w:val="21"/>
                <w:highlight w:val="none"/>
                <w:u w:val="single"/>
              </w:rPr>
              <w:t>年</w:t>
            </w:r>
            <w:r>
              <w:rPr>
                <w:rFonts w:hint="eastAsia" w:ascii="微软雅黑" w:hAnsi="微软雅黑" w:eastAsia="微软雅黑"/>
                <w:szCs w:val="21"/>
                <w:highlight w:val="none"/>
                <w:u w:val="single"/>
                <w:lang w:val="en-US" w:eastAsia="zh-CN"/>
              </w:rPr>
              <w:t>1</w:t>
            </w:r>
            <w:r>
              <w:rPr>
                <w:rFonts w:hint="eastAsia" w:ascii="微软雅黑" w:hAnsi="微软雅黑" w:eastAsia="微软雅黑"/>
                <w:szCs w:val="21"/>
                <w:highlight w:val="none"/>
                <w:u w:val="single"/>
              </w:rPr>
              <w:t>月</w:t>
            </w:r>
            <w:r>
              <w:rPr>
                <w:rFonts w:hint="eastAsia" w:ascii="微软雅黑" w:hAnsi="微软雅黑" w:eastAsia="微软雅黑"/>
                <w:szCs w:val="21"/>
                <w:highlight w:val="none"/>
                <w:u w:val="single"/>
                <w:lang w:val="en-US" w:eastAsia="zh-CN"/>
              </w:rPr>
              <w:t>7</w:t>
            </w:r>
            <w:r>
              <w:rPr>
                <w:rFonts w:hint="eastAsia" w:ascii="微软雅黑" w:hAnsi="微软雅黑" w:eastAsia="微软雅黑"/>
                <w:szCs w:val="21"/>
                <w:highlight w:val="none"/>
                <w:u w:val="single"/>
              </w:rPr>
              <w:t>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到期日</w:t>
            </w:r>
          </w:p>
        </w:tc>
        <w:tc>
          <w:tcPr>
            <w:tcW w:w="7200" w:type="dxa"/>
            <w:noWrap w:val="0"/>
            <w:vAlign w:val="top"/>
          </w:tcPr>
          <w:p>
            <w:pPr>
              <w:spacing w:line="320" w:lineRule="exact"/>
              <w:ind w:firstLine="0" w:firstLineChars="0"/>
              <w:rPr>
                <w:rFonts w:ascii="微软雅黑" w:hAnsi="微软雅黑" w:eastAsia="微软雅黑"/>
                <w:szCs w:val="21"/>
                <w:highlight w:val="none"/>
              </w:rPr>
            </w:pPr>
            <w:r>
              <w:rPr>
                <w:rFonts w:hint="eastAsia" w:ascii="微软雅黑" w:hAnsi="微软雅黑" w:eastAsia="微软雅黑"/>
                <w:szCs w:val="21"/>
                <w:highlight w:val="none"/>
                <w:u w:val="single"/>
                <w:lang w:val="en-US" w:eastAsia="zh-CN"/>
              </w:rPr>
              <w:t>2026</w:t>
            </w:r>
            <w:r>
              <w:rPr>
                <w:rFonts w:hint="eastAsia" w:ascii="微软雅黑" w:hAnsi="微软雅黑" w:eastAsia="微软雅黑"/>
                <w:szCs w:val="21"/>
                <w:highlight w:val="none"/>
                <w:u w:val="single"/>
              </w:rPr>
              <w:t>年</w:t>
            </w:r>
            <w:r>
              <w:rPr>
                <w:rFonts w:hint="eastAsia" w:ascii="微软雅黑" w:hAnsi="微软雅黑" w:eastAsia="微软雅黑"/>
                <w:szCs w:val="21"/>
                <w:highlight w:val="none"/>
                <w:u w:val="single"/>
                <w:lang w:val="en-US" w:eastAsia="zh-CN"/>
              </w:rPr>
              <w:t>7</w:t>
            </w:r>
            <w:r>
              <w:rPr>
                <w:rFonts w:hint="eastAsia" w:ascii="微软雅黑" w:hAnsi="微软雅黑" w:eastAsia="微软雅黑"/>
                <w:szCs w:val="21"/>
                <w:highlight w:val="none"/>
                <w:u w:val="single"/>
              </w:rPr>
              <w:t>月</w:t>
            </w:r>
            <w:r>
              <w:rPr>
                <w:rFonts w:hint="eastAsia" w:ascii="微软雅黑" w:hAnsi="微软雅黑" w:eastAsia="微软雅黑"/>
                <w:szCs w:val="21"/>
                <w:highlight w:val="none"/>
                <w:u w:val="single"/>
                <w:lang w:val="en-US" w:eastAsia="zh-CN"/>
              </w:rPr>
              <w:t>22</w:t>
            </w:r>
            <w:r>
              <w:rPr>
                <w:rFonts w:hint="eastAsia" w:ascii="微软雅黑" w:hAnsi="微软雅黑" w:eastAsia="微软雅黑"/>
                <w:szCs w:val="21"/>
                <w:highlight w:val="none"/>
                <w:u w:val="single"/>
              </w:rPr>
              <w:t>日</w:t>
            </w:r>
            <w:r>
              <w:rPr>
                <w:rFonts w:hint="eastAsia" w:ascii="微软雅黑" w:hAnsi="微软雅黑" w:eastAsia="微软雅黑"/>
                <w:szCs w:val="21"/>
                <w:highlight w:val="none"/>
              </w:rPr>
              <w:t>（以产品实际到期日为准）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期限</w:t>
            </w:r>
          </w:p>
        </w:tc>
        <w:tc>
          <w:tcPr>
            <w:tcW w:w="7200" w:type="dxa"/>
            <w:noWrap w:val="0"/>
            <w:vAlign w:val="top"/>
          </w:tcPr>
          <w:p>
            <w:pPr>
              <w:spacing w:line="320" w:lineRule="exact"/>
              <w:ind w:firstLine="0" w:firstLineChars="0"/>
              <w:rPr>
                <w:rFonts w:ascii="微软雅黑" w:hAnsi="微软雅黑" w:eastAsia="微软雅黑"/>
                <w:szCs w:val="21"/>
                <w:highlight w:val="none"/>
                <w:u w:val="single"/>
              </w:rPr>
            </w:pPr>
            <w:r>
              <w:rPr>
                <w:rFonts w:hint="eastAsia" w:ascii="微软雅黑" w:hAnsi="微软雅黑" w:eastAsia="微软雅黑"/>
                <w:szCs w:val="21"/>
                <w:highlight w:val="none"/>
                <w:lang w:val="en-US" w:eastAsia="zh-CN"/>
              </w:rPr>
              <w:t>196</w:t>
            </w:r>
            <w:r>
              <w:rPr>
                <w:rFonts w:hint="eastAsia" w:ascii="微软雅黑" w:hAnsi="微软雅黑" w:eastAsia="微软雅黑"/>
                <w:szCs w:val="21"/>
                <w:highlight w:val="none"/>
              </w:rPr>
              <w:t>天。实际产品期限受制于银行提前终止及产品到期条款，珠海华润银行可根据情况进行调整。</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存续期</w:t>
            </w:r>
          </w:p>
        </w:tc>
        <w:tc>
          <w:tcPr>
            <w:tcW w:w="7200"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产品成立日（含）至产品到期日（不含）</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top"/>
          </w:tcPr>
          <w:p>
            <w:pPr>
              <w:spacing w:line="320" w:lineRule="exact"/>
              <w:rPr>
                <w:rFonts w:ascii="微软雅黑" w:hAnsi="微软雅黑" w:eastAsia="微软雅黑"/>
                <w:b/>
                <w:szCs w:val="21"/>
                <w:highlight w:val="none"/>
              </w:rPr>
            </w:pPr>
            <w:r>
              <w:rPr>
                <w:rFonts w:hint="eastAsia" w:ascii="微软雅黑" w:hAnsi="微软雅黑" w:eastAsia="微软雅黑"/>
                <w:szCs w:val="21"/>
                <w:highlight w:val="none"/>
              </w:rPr>
              <w:t>认购起点金额</w:t>
            </w:r>
          </w:p>
        </w:tc>
        <w:tc>
          <w:tcPr>
            <w:tcW w:w="7200" w:type="dxa"/>
            <w:noWrap w:val="0"/>
            <w:vAlign w:val="top"/>
          </w:tcPr>
          <w:p>
            <w:pPr>
              <w:spacing w:line="320" w:lineRule="exact"/>
              <w:rPr>
                <w:rFonts w:hint="default" w:ascii="微软雅黑" w:hAnsi="微软雅黑" w:eastAsia="微软雅黑"/>
                <w:szCs w:val="21"/>
                <w:highlight w:val="none"/>
                <w:u w:val="single"/>
                <w:lang w:val="en-US" w:eastAsia="zh-CN"/>
              </w:rPr>
            </w:pPr>
            <w:r>
              <w:rPr>
                <w:rFonts w:hint="eastAsia" w:ascii="微软雅黑" w:hAnsi="微软雅黑" w:eastAsia="微软雅黑"/>
                <w:szCs w:val="21"/>
                <w:highlight w:val="none"/>
              </w:rPr>
              <w:t>认购起点金额为</w:t>
            </w:r>
            <w:r>
              <w:rPr>
                <w:rFonts w:hint="eastAsia" w:ascii="微软雅黑" w:hAnsi="微软雅黑" w:eastAsia="微软雅黑"/>
                <w:szCs w:val="21"/>
                <w:highlight w:val="none"/>
                <w:lang w:val="en-US" w:eastAsia="zh-CN"/>
              </w:rPr>
              <w:t>1</w:t>
            </w:r>
            <w:r>
              <w:rPr>
                <w:rFonts w:hint="eastAsia" w:ascii="微软雅黑" w:hAnsi="微软雅黑" w:eastAsia="微软雅黑"/>
                <w:szCs w:val="21"/>
                <w:highlight w:val="none"/>
              </w:rPr>
              <w:t>万元；超过认购起点部分，以1000元递增。</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单笔认购上限</w:t>
            </w:r>
          </w:p>
        </w:tc>
        <w:tc>
          <w:tcPr>
            <w:tcW w:w="7200"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珠海华润银行有权根据产品投资情况对单笔认购上限进行约定及调整。</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认购期</w:t>
            </w:r>
          </w:p>
          <w:p>
            <w:pPr>
              <w:spacing w:line="320" w:lineRule="exact"/>
              <w:rPr>
                <w:rFonts w:ascii="微软雅黑" w:hAnsi="微软雅黑" w:eastAsia="微软雅黑"/>
                <w:b/>
                <w:szCs w:val="21"/>
                <w:highlight w:val="none"/>
              </w:rPr>
            </w:pPr>
          </w:p>
        </w:tc>
        <w:tc>
          <w:tcPr>
            <w:tcW w:w="7200" w:type="dxa"/>
            <w:noWrap w:val="0"/>
            <w:vAlign w:val="top"/>
          </w:tcPr>
          <w:p>
            <w:pPr>
              <w:spacing w:line="320" w:lineRule="exact"/>
              <w:ind w:firstLine="0" w:firstLineChars="0"/>
              <w:rPr>
                <w:rFonts w:ascii="微软雅黑" w:hAnsi="微软雅黑" w:eastAsia="微软雅黑"/>
                <w:b/>
                <w:szCs w:val="21"/>
                <w:highlight w:val="none"/>
              </w:rPr>
            </w:pPr>
            <w:r>
              <w:rPr>
                <w:rFonts w:hint="eastAsia" w:ascii="微软雅黑" w:hAnsi="微软雅黑" w:eastAsia="微软雅黑"/>
                <w:szCs w:val="21"/>
                <w:highlight w:val="none"/>
                <w:lang w:val="en-US" w:eastAsia="zh-CN"/>
              </w:rPr>
              <w:t>2025</w:t>
            </w:r>
            <w:r>
              <w:rPr>
                <w:rFonts w:hint="eastAsia" w:ascii="微软雅黑" w:hAnsi="微软雅黑" w:eastAsia="微软雅黑"/>
                <w:szCs w:val="21"/>
                <w:highlight w:val="none"/>
              </w:rPr>
              <w:t>年</w:t>
            </w:r>
            <w:r>
              <w:rPr>
                <w:rFonts w:hint="eastAsia" w:ascii="微软雅黑" w:hAnsi="微软雅黑" w:eastAsia="微软雅黑"/>
                <w:szCs w:val="21"/>
                <w:highlight w:val="none"/>
                <w:lang w:val="en-US" w:eastAsia="zh-CN"/>
              </w:rPr>
              <w:t>12</w:t>
            </w:r>
            <w:r>
              <w:rPr>
                <w:rFonts w:hint="eastAsia" w:ascii="微软雅黑" w:hAnsi="微软雅黑" w:eastAsia="微软雅黑"/>
                <w:szCs w:val="21"/>
                <w:highlight w:val="none"/>
              </w:rPr>
              <w:t>月</w:t>
            </w:r>
            <w:r>
              <w:rPr>
                <w:rFonts w:hint="eastAsia" w:ascii="微软雅黑" w:hAnsi="微软雅黑" w:eastAsia="微软雅黑"/>
                <w:szCs w:val="21"/>
                <w:highlight w:val="none"/>
                <w:lang w:val="en-US" w:eastAsia="zh-CN"/>
              </w:rPr>
              <w:t>31</w:t>
            </w:r>
            <w:r>
              <w:rPr>
                <w:rFonts w:hint="eastAsia" w:ascii="微软雅黑" w:hAnsi="微软雅黑" w:eastAsia="微软雅黑"/>
                <w:szCs w:val="21"/>
                <w:highlight w:val="none"/>
              </w:rPr>
              <w:t>日9:00至</w:t>
            </w:r>
            <w:r>
              <w:rPr>
                <w:rFonts w:hint="eastAsia" w:ascii="微软雅黑" w:hAnsi="微软雅黑" w:eastAsia="微软雅黑"/>
                <w:szCs w:val="21"/>
                <w:highlight w:val="none"/>
                <w:lang w:val="en-US" w:eastAsia="zh-CN"/>
              </w:rPr>
              <w:t>2026</w:t>
            </w:r>
            <w:r>
              <w:rPr>
                <w:rFonts w:hint="eastAsia" w:ascii="微软雅黑" w:hAnsi="微软雅黑" w:eastAsia="微软雅黑"/>
                <w:szCs w:val="21"/>
                <w:highlight w:val="none"/>
              </w:rPr>
              <w:t>年</w:t>
            </w:r>
            <w:r>
              <w:rPr>
                <w:rFonts w:hint="eastAsia" w:ascii="微软雅黑" w:hAnsi="微软雅黑" w:eastAsia="微软雅黑"/>
                <w:szCs w:val="21"/>
                <w:highlight w:val="none"/>
                <w:lang w:val="en-US" w:eastAsia="zh-CN"/>
              </w:rPr>
              <w:t>1</w:t>
            </w:r>
            <w:r>
              <w:rPr>
                <w:rFonts w:hint="eastAsia" w:ascii="微软雅黑" w:hAnsi="微软雅黑" w:eastAsia="微软雅黑"/>
                <w:szCs w:val="21"/>
                <w:highlight w:val="none"/>
              </w:rPr>
              <w:t>月</w:t>
            </w:r>
            <w:r>
              <w:rPr>
                <w:rFonts w:hint="eastAsia" w:ascii="微软雅黑" w:hAnsi="微软雅黑" w:eastAsia="微软雅黑"/>
                <w:szCs w:val="21"/>
                <w:highlight w:val="none"/>
                <w:lang w:val="en-US" w:eastAsia="zh-CN"/>
              </w:rPr>
              <w:t>6</w:t>
            </w:r>
            <w:r>
              <w:rPr>
                <w:rFonts w:hint="eastAsia" w:ascii="微软雅黑" w:hAnsi="微软雅黑" w:eastAsia="微软雅黑"/>
                <w:szCs w:val="21"/>
                <w:highlight w:val="none"/>
              </w:rPr>
              <w:t>日17:00，珠海华润银行有权提前结束认购并调整相关日期</w:t>
            </w:r>
            <w:r>
              <w:rPr>
                <w:rFonts w:ascii="微软雅黑" w:hAnsi="微软雅黑" w:eastAsia="微软雅黑"/>
                <w:szCs w:val="21"/>
                <w:highlight w:val="none"/>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资金到账日</w:t>
            </w:r>
          </w:p>
        </w:tc>
        <w:tc>
          <w:tcPr>
            <w:tcW w:w="7200"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理财产品到期或提前终止日后3个工作日内</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top"/>
          </w:tcPr>
          <w:p>
            <w:pPr>
              <w:spacing w:line="320" w:lineRule="exact"/>
              <w:rPr>
                <w:rFonts w:ascii="微软雅黑" w:hAnsi="微软雅黑" w:eastAsia="微软雅黑"/>
                <w:b/>
                <w:szCs w:val="21"/>
                <w:highlight w:val="none"/>
              </w:rPr>
            </w:pPr>
            <w:r>
              <w:rPr>
                <w:rFonts w:hint="eastAsia" w:ascii="微软雅黑" w:hAnsi="微软雅黑" w:eastAsia="微软雅黑"/>
                <w:szCs w:val="21"/>
                <w:highlight w:val="none"/>
              </w:rPr>
              <w:t>清算期</w:t>
            </w:r>
          </w:p>
        </w:tc>
        <w:tc>
          <w:tcPr>
            <w:tcW w:w="7200" w:type="dxa"/>
            <w:noWrap w:val="0"/>
            <w:vAlign w:val="top"/>
          </w:tcPr>
          <w:p>
            <w:pPr>
              <w:spacing w:line="320" w:lineRule="exact"/>
              <w:rPr>
                <w:rFonts w:ascii="微软雅黑" w:hAnsi="微软雅黑" w:eastAsia="微软雅黑"/>
                <w:b/>
                <w:szCs w:val="21"/>
                <w:highlight w:val="none"/>
              </w:rPr>
            </w:pPr>
            <w:r>
              <w:rPr>
                <w:rFonts w:hint="eastAsia" w:ascii="微软雅黑" w:hAnsi="微软雅黑" w:eastAsia="微软雅黑"/>
                <w:szCs w:val="21"/>
                <w:highlight w:val="none"/>
              </w:rPr>
              <w:t>理财产品到期日（含提前终止情形）至理财资金到账日为清算期，清算期内不计付利息。清算期逢节假日顺延。</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管理人</w:t>
            </w:r>
          </w:p>
        </w:tc>
        <w:tc>
          <w:tcPr>
            <w:tcW w:w="7200"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珠海华润银行股份有限公司</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22" w:hRule="atLeast"/>
          <w:jc w:val="center"/>
        </w:trPr>
        <w:tc>
          <w:tcPr>
            <w:tcW w:w="2014"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托管人</w:t>
            </w:r>
          </w:p>
        </w:tc>
        <w:tc>
          <w:tcPr>
            <w:tcW w:w="7200"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cs="Arial"/>
                <w:b w:val="0"/>
                <w:bCs/>
                <w:szCs w:val="21"/>
                <w:highlight w:val="none"/>
                <w:lang w:val="en-US" w:eastAsia="zh-CN"/>
              </w:rPr>
              <w:t>宁波</w:t>
            </w:r>
            <w:r>
              <w:rPr>
                <w:rFonts w:hint="eastAsia" w:ascii="微软雅黑" w:hAnsi="微软雅黑" w:eastAsia="微软雅黑"/>
                <w:szCs w:val="21"/>
                <w:highlight w:val="none"/>
              </w:rPr>
              <w:t>银行股份有限公司</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业绩比较基准</w:t>
            </w:r>
          </w:p>
        </w:tc>
        <w:tc>
          <w:tcPr>
            <w:tcW w:w="7200" w:type="dxa"/>
            <w:noWrap w:val="0"/>
            <w:vAlign w:val="top"/>
          </w:tcPr>
          <w:p>
            <w:pPr>
              <w:spacing w:line="320" w:lineRule="exact"/>
              <w:ind w:firstLine="0" w:firstLineChars="0"/>
              <w:rPr>
                <w:rFonts w:hint="eastAsia" w:ascii="微软雅黑" w:hAnsi="微软雅黑" w:eastAsia="微软雅黑"/>
                <w:b/>
                <w:bCs/>
                <w:szCs w:val="21"/>
                <w:highlight w:val="none"/>
              </w:rPr>
            </w:pPr>
            <w:r>
              <w:rPr>
                <w:rFonts w:hint="eastAsia" w:ascii="微软雅黑" w:hAnsi="微软雅黑" w:eastAsia="微软雅黑"/>
                <w:szCs w:val="21"/>
                <w:highlight w:val="none"/>
                <w:lang w:val="en-US" w:eastAsia="zh-CN"/>
              </w:rPr>
              <w:t>[2.00%,2.95%]</w:t>
            </w:r>
            <w:r>
              <w:rPr>
                <w:rFonts w:hint="eastAsia" w:ascii="微软雅黑" w:hAnsi="微软雅黑" w:eastAsia="微软雅黑"/>
                <w:szCs w:val="21"/>
                <w:highlight w:val="none"/>
              </w:rPr>
              <w:t>（年化）。</w:t>
            </w:r>
            <w:r>
              <w:rPr>
                <w:rFonts w:hint="eastAsia" w:ascii="微软雅黑" w:hAnsi="微软雅黑" w:eastAsia="微软雅黑"/>
                <w:szCs w:val="21"/>
                <w:highlight w:val="none"/>
                <w:lang w:val="en-US" w:eastAsia="zh-CN"/>
              </w:rPr>
              <w:t>该</w:t>
            </w:r>
            <w:r>
              <w:rPr>
                <w:rFonts w:hint="eastAsia" w:ascii="微软雅黑" w:hAnsi="微软雅黑" w:eastAsia="微软雅黑"/>
                <w:szCs w:val="21"/>
                <w:highlight w:val="none"/>
              </w:rPr>
              <w:t>业绩</w:t>
            </w:r>
            <w:r>
              <w:rPr>
                <w:rFonts w:hint="eastAsia" w:ascii="微软雅黑" w:hAnsi="微软雅黑" w:eastAsia="微软雅黑"/>
                <w:szCs w:val="21"/>
                <w:highlight w:val="none"/>
                <w:lang w:val="en-US" w:eastAsia="zh-CN"/>
              </w:rPr>
              <w:t>比较</w:t>
            </w:r>
            <w:r>
              <w:rPr>
                <w:rFonts w:hint="eastAsia" w:ascii="微软雅黑" w:hAnsi="微软雅黑" w:eastAsia="微软雅黑"/>
                <w:szCs w:val="21"/>
                <w:highlight w:val="none"/>
              </w:rPr>
              <w:t>基准是珠海华润银行基于产品性质、投资策略、过往经验、未来市场预判等因素，并参照</w:t>
            </w:r>
            <w:r>
              <w:rPr>
                <w:rFonts w:hint="eastAsia" w:ascii="微软雅黑" w:hAnsi="微软雅黑" w:eastAsia="微软雅黑"/>
                <w:szCs w:val="21"/>
                <w:highlight w:val="none"/>
                <w:lang w:val="en-US" w:eastAsia="zh-CN"/>
              </w:rPr>
              <w:t>理财</w:t>
            </w:r>
            <w:r>
              <w:rPr>
                <w:rFonts w:hint="eastAsia" w:ascii="微软雅黑" w:hAnsi="微软雅黑" w:eastAsia="微软雅黑"/>
                <w:szCs w:val="21"/>
                <w:highlight w:val="none"/>
              </w:rPr>
              <w:t>产品发行时市场利率水平和投资资产的综合表现对</w:t>
            </w:r>
            <w:r>
              <w:rPr>
                <w:rFonts w:hint="eastAsia" w:ascii="微软雅黑" w:hAnsi="微软雅黑" w:eastAsia="微软雅黑"/>
                <w:szCs w:val="21"/>
                <w:highlight w:val="none"/>
                <w:lang w:val="en-US" w:eastAsia="zh-CN"/>
              </w:rPr>
              <w:t>理财</w:t>
            </w:r>
            <w:r>
              <w:rPr>
                <w:rFonts w:hint="eastAsia" w:ascii="微软雅黑" w:hAnsi="微软雅黑" w:eastAsia="微软雅黑"/>
                <w:szCs w:val="21"/>
                <w:highlight w:val="none"/>
              </w:rPr>
              <w:t>产品设定的投资目标，</w:t>
            </w:r>
            <w:r>
              <w:rPr>
                <w:rFonts w:hint="eastAsia" w:ascii="微软雅黑" w:hAnsi="微软雅黑" w:eastAsia="微软雅黑"/>
                <w:b/>
                <w:bCs/>
                <w:szCs w:val="21"/>
                <w:highlight w:val="none"/>
              </w:rPr>
              <w:t>不</w:t>
            </w:r>
            <w:r>
              <w:rPr>
                <w:rFonts w:hint="eastAsia" w:ascii="微软雅黑" w:hAnsi="微软雅黑" w:eastAsia="微软雅黑"/>
                <w:b/>
                <w:bCs/>
                <w:szCs w:val="21"/>
                <w:highlight w:val="none"/>
                <w:lang w:eastAsia="zh-CN"/>
              </w:rPr>
              <w:t>代表</w:t>
            </w:r>
            <w:r>
              <w:rPr>
                <w:rFonts w:hint="eastAsia" w:ascii="微软雅黑" w:hAnsi="微软雅黑" w:eastAsia="微软雅黑"/>
                <w:b/>
                <w:bCs/>
                <w:szCs w:val="21"/>
                <w:highlight w:val="none"/>
                <w:lang w:val="en-US" w:eastAsia="zh-CN"/>
              </w:rPr>
              <w:t>本理财</w:t>
            </w:r>
            <w:r>
              <w:rPr>
                <w:rFonts w:hint="eastAsia" w:ascii="微软雅黑" w:hAnsi="微软雅黑" w:eastAsia="微软雅黑"/>
                <w:b/>
                <w:bCs/>
                <w:szCs w:val="21"/>
                <w:highlight w:val="none"/>
              </w:rPr>
              <w:t>产品的未来表现和实际收益，不构成对</w:t>
            </w:r>
            <w:r>
              <w:rPr>
                <w:rFonts w:hint="eastAsia" w:ascii="微软雅黑" w:hAnsi="微软雅黑" w:eastAsia="微软雅黑"/>
                <w:b/>
                <w:bCs/>
                <w:szCs w:val="21"/>
                <w:highlight w:val="none"/>
                <w:lang w:val="en-US" w:eastAsia="zh-CN"/>
              </w:rPr>
              <w:t>理财</w:t>
            </w:r>
            <w:r>
              <w:rPr>
                <w:rFonts w:hint="eastAsia" w:ascii="微软雅黑" w:hAnsi="微软雅黑" w:eastAsia="微软雅黑"/>
                <w:b/>
                <w:bCs/>
                <w:szCs w:val="21"/>
                <w:highlight w:val="none"/>
              </w:rPr>
              <w:t>产品收益的承诺，仅作为计算浮动管理费的依据。</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本</w:t>
            </w:r>
            <w:r>
              <w:rPr>
                <w:rFonts w:hint="eastAsia" w:ascii="微软雅黑" w:hAnsi="微软雅黑" w:eastAsia="微软雅黑"/>
                <w:szCs w:val="21"/>
                <w:highlight w:val="none"/>
                <w:lang w:val="en-US" w:eastAsia="zh-CN"/>
              </w:rPr>
              <w:t>理财</w:t>
            </w:r>
            <w:r>
              <w:rPr>
                <w:rFonts w:hint="eastAsia" w:ascii="微软雅黑" w:hAnsi="微软雅黑" w:eastAsia="微软雅黑"/>
                <w:szCs w:val="21"/>
                <w:highlight w:val="none"/>
              </w:rPr>
              <w:t>产品为净值型产品，业绩表现将随市场波动，具有不确定性。</w:t>
            </w:r>
            <w:r>
              <w:rPr>
                <w:rFonts w:hint="eastAsia" w:ascii="微软雅黑" w:hAnsi="微软雅黑" w:eastAsia="微软雅黑"/>
                <w:b/>
                <w:bCs/>
                <w:szCs w:val="21"/>
                <w:highlight w:val="none"/>
              </w:rPr>
              <w:t>投资者不应将业绩比较基准作为持有本理财产品份额到期的综合投资收益参考值，投资须谨慎。</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相关费用</w:t>
            </w:r>
          </w:p>
        </w:tc>
        <w:tc>
          <w:tcPr>
            <w:tcW w:w="7200" w:type="dxa"/>
            <w:noWrap w:val="0"/>
            <w:vAlign w:val="top"/>
          </w:tcPr>
          <w:p>
            <w:pPr>
              <w:spacing w:line="320" w:lineRule="exact"/>
              <w:rPr>
                <w:rFonts w:ascii="微软雅黑" w:hAnsi="微软雅黑" w:eastAsia="微软雅黑"/>
                <w:szCs w:val="21"/>
                <w:highlight w:val="none"/>
              </w:rPr>
            </w:pPr>
            <w:bookmarkStart w:id="0" w:name="OLE_LINK2"/>
            <w:r>
              <w:rPr>
                <w:rFonts w:hint="eastAsia" w:ascii="微软雅黑" w:hAnsi="微软雅黑" w:eastAsia="微软雅黑"/>
                <w:szCs w:val="21"/>
                <w:highlight w:val="none"/>
              </w:rPr>
              <w:t>一、固定费用</w:t>
            </w:r>
          </w:p>
          <w:p>
            <w:pPr>
              <w:spacing w:line="320" w:lineRule="exact"/>
              <w:rPr>
                <w:rFonts w:hint="eastAsia" w:ascii="微软雅黑" w:hAnsi="微软雅黑" w:eastAsia="微软雅黑"/>
                <w:szCs w:val="21"/>
                <w:highlight w:val="none"/>
              </w:rPr>
            </w:pPr>
            <w:r>
              <w:rPr>
                <w:rFonts w:hint="eastAsia" w:ascii="微软雅黑" w:hAnsi="微软雅黑" w:eastAsia="微软雅黑"/>
                <w:szCs w:val="21"/>
                <w:highlight w:val="none"/>
              </w:rPr>
              <w:t>产品托管费：0.0</w:t>
            </w:r>
            <w:r>
              <w:rPr>
                <w:rFonts w:hint="eastAsia" w:ascii="微软雅黑" w:hAnsi="微软雅黑" w:eastAsia="微软雅黑"/>
                <w:szCs w:val="21"/>
                <w:highlight w:val="none"/>
                <w:lang w:val="en-US" w:eastAsia="zh-CN"/>
              </w:rPr>
              <w:t>08</w:t>
            </w:r>
            <w:r>
              <w:rPr>
                <w:rFonts w:hint="eastAsia" w:ascii="微软雅黑" w:hAnsi="微软雅黑" w:eastAsia="微软雅黑"/>
                <w:szCs w:val="21"/>
                <w:highlight w:val="none"/>
              </w:rPr>
              <w:t>%/年；</w:t>
            </w:r>
          </w:p>
          <w:p>
            <w:pPr>
              <w:spacing w:line="320" w:lineRule="exact"/>
              <w:rPr>
                <w:rFonts w:hint="eastAsia" w:ascii="微软雅黑" w:hAnsi="微软雅黑" w:eastAsia="微软雅黑"/>
                <w:szCs w:val="21"/>
                <w:highlight w:val="none"/>
                <w:lang w:eastAsia="zh-CN"/>
              </w:rPr>
            </w:pPr>
            <w:r>
              <w:rPr>
                <w:rFonts w:hint="eastAsia" w:ascii="微软雅黑" w:hAnsi="微软雅黑" w:eastAsia="微软雅黑"/>
                <w:szCs w:val="21"/>
                <w:highlight w:val="none"/>
                <w:lang w:eastAsia="zh-CN"/>
              </w:rPr>
              <w:t>运营服务费：</w:t>
            </w:r>
            <w:r>
              <w:rPr>
                <w:rFonts w:hint="eastAsia" w:ascii="微软雅黑" w:hAnsi="微软雅黑" w:eastAsia="微软雅黑"/>
                <w:szCs w:val="21"/>
                <w:highlight w:val="none"/>
                <w:lang w:val="en-US" w:eastAsia="zh-CN"/>
              </w:rPr>
              <w:t>0.005%</w:t>
            </w:r>
            <w:r>
              <w:rPr>
                <w:rFonts w:hint="eastAsia" w:ascii="微软雅黑" w:hAnsi="微软雅黑" w:eastAsia="微软雅黑"/>
                <w:szCs w:val="21"/>
                <w:highlight w:val="none"/>
              </w:rPr>
              <w:t>/年</w:t>
            </w:r>
            <w:r>
              <w:rPr>
                <w:rFonts w:hint="eastAsia" w:ascii="微软雅黑" w:hAnsi="微软雅黑" w:eastAsia="微软雅黑"/>
                <w:szCs w:val="21"/>
                <w:highlight w:val="none"/>
                <w:lang w:eastAsia="zh-CN"/>
              </w:rPr>
              <w:t>；</w:t>
            </w:r>
          </w:p>
          <w:p>
            <w:pPr>
              <w:spacing w:line="320" w:lineRule="exact"/>
              <w:rPr>
                <w:rFonts w:hint="eastAsia" w:ascii="微软雅黑" w:hAnsi="微软雅黑" w:eastAsia="微软雅黑"/>
                <w:szCs w:val="21"/>
                <w:highlight w:val="none"/>
                <w:lang w:eastAsia="zh-CN"/>
              </w:rPr>
            </w:pPr>
            <w:r>
              <w:rPr>
                <w:rFonts w:hint="eastAsia" w:ascii="微软雅黑" w:hAnsi="微软雅黑" w:eastAsia="微软雅黑"/>
                <w:szCs w:val="21"/>
                <w:highlight w:val="none"/>
              </w:rPr>
              <w:t>销售手续费：0.</w:t>
            </w:r>
            <w:r>
              <w:rPr>
                <w:rFonts w:hint="eastAsia" w:ascii="微软雅黑" w:hAnsi="微软雅黑" w:eastAsia="微软雅黑"/>
                <w:szCs w:val="21"/>
                <w:highlight w:val="none"/>
                <w:lang w:val="en-US" w:eastAsia="zh-CN"/>
              </w:rPr>
              <w:t>20</w:t>
            </w:r>
            <w:r>
              <w:rPr>
                <w:rFonts w:hint="eastAsia" w:ascii="微软雅黑" w:hAnsi="微软雅黑" w:eastAsia="微软雅黑"/>
                <w:szCs w:val="21"/>
                <w:highlight w:val="none"/>
              </w:rPr>
              <w:t>%/年；</w:t>
            </w:r>
          </w:p>
          <w:p>
            <w:pPr>
              <w:spacing w:line="320" w:lineRule="exact"/>
              <w:rPr>
                <w:rFonts w:hint="eastAsia" w:ascii="微软雅黑" w:hAnsi="微软雅黑" w:eastAsia="微软雅黑"/>
                <w:szCs w:val="21"/>
                <w:highlight w:val="none"/>
              </w:rPr>
            </w:pPr>
            <w:r>
              <w:rPr>
                <w:rFonts w:hint="eastAsia" w:ascii="微软雅黑" w:hAnsi="微软雅黑" w:eastAsia="微软雅黑"/>
                <w:szCs w:val="21"/>
                <w:highlight w:val="none"/>
              </w:rPr>
              <w:t>固定投资管理费：0.</w:t>
            </w:r>
            <w:r>
              <w:rPr>
                <w:rFonts w:hint="eastAsia" w:ascii="微软雅黑" w:hAnsi="微软雅黑" w:eastAsia="微软雅黑"/>
                <w:szCs w:val="21"/>
                <w:highlight w:val="none"/>
                <w:lang w:val="en-US" w:eastAsia="zh-CN"/>
              </w:rPr>
              <w:t>10</w:t>
            </w:r>
            <w:r>
              <w:rPr>
                <w:rFonts w:hint="eastAsia" w:ascii="微软雅黑" w:hAnsi="微软雅黑" w:eastAsia="微软雅黑"/>
                <w:szCs w:val="21"/>
                <w:highlight w:val="none"/>
              </w:rPr>
              <w:t>%/年；</w:t>
            </w:r>
          </w:p>
          <w:p>
            <w:pPr>
              <w:spacing w:line="320" w:lineRule="exact"/>
              <w:rPr>
                <w:rFonts w:hint="eastAsia" w:ascii="微软雅黑" w:hAnsi="微软雅黑" w:eastAsia="微软雅黑"/>
                <w:szCs w:val="21"/>
                <w:highlight w:val="none"/>
              </w:rPr>
            </w:pPr>
            <w:r>
              <w:rPr>
                <w:rFonts w:hint="eastAsia" w:ascii="微软雅黑" w:hAnsi="微软雅黑" w:eastAsia="微软雅黑"/>
                <w:szCs w:val="21"/>
                <w:highlight w:val="none"/>
              </w:rPr>
              <w:t>本产品暂不收取认购费用</w:t>
            </w:r>
            <w:r>
              <w:rPr>
                <w:rFonts w:hint="eastAsia" w:ascii="微软雅黑" w:hAnsi="微软雅黑" w:eastAsia="微软雅黑"/>
                <w:szCs w:val="21"/>
                <w:highlight w:val="none"/>
                <w:lang w:eastAsia="zh-CN"/>
              </w:rPr>
              <w:t>及赎回费用</w:t>
            </w:r>
            <w:r>
              <w:rPr>
                <w:rFonts w:hint="eastAsia" w:ascii="微软雅黑" w:hAnsi="微软雅黑" w:eastAsia="微软雅黑"/>
                <w:szCs w:val="21"/>
                <w:highlight w:val="none"/>
              </w:rPr>
              <w:t>。</w:t>
            </w:r>
          </w:p>
          <w:p>
            <w:pPr>
              <w:spacing w:line="320" w:lineRule="exact"/>
              <w:rPr>
                <w:rFonts w:hint="eastAsia" w:ascii="微软雅黑" w:hAnsi="微软雅黑" w:eastAsia="微软雅黑"/>
                <w:szCs w:val="21"/>
                <w:highlight w:val="none"/>
                <w:lang w:eastAsia="zh-CN"/>
              </w:rPr>
            </w:pPr>
            <w:r>
              <w:rPr>
                <w:rFonts w:hint="eastAsia" w:ascii="微软雅黑" w:hAnsi="微软雅黑" w:eastAsia="微软雅黑"/>
                <w:szCs w:val="21"/>
                <w:highlight w:val="none"/>
                <w:lang w:val="en-US" w:eastAsia="zh-CN"/>
              </w:rPr>
              <w:t>二、</w:t>
            </w:r>
            <w:r>
              <w:rPr>
                <w:rFonts w:hint="eastAsia" w:ascii="微软雅黑" w:hAnsi="微软雅黑" w:eastAsia="微软雅黑"/>
                <w:szCs w:val="21"/>
                <w:highlight w:val="none"/>
              </w:rPr>
              <w:t>其他费用</w:t>
            </w:r>
            <w:r>
              <w:rPr>
                <w:rFonts w:hint="eastAsia" w:ascii="微软雅黑" w:hAnsi="微软雅黑" w:eastAsia="微软雅黑"/>
                <w:szCs w:val="21"/>
                <w:highlight w:val="none"/>
                <w:lang w:eastAsia="zh-CN"/>
              </w:rPr>
              <w:t>：</w:t>
            </w:r>
            <w:r>
              <w:rPr>
                <w:rFonts w:hint="eastAsia" w:ascii="微软雅黑" w:hAnsi="微软雅黑" w:eastAsia="微软雅黑"/>
                <w:szCs w:val="21"/>
                <w:highlight w:val="none"/>
                <w:lang w:val="en-US" w:eastAsia="zh-CN"/>
              </w:rPr>
              <w:t>1.投资账户开立及维护费、交易手续费、资金汇划费、清算费等；2.产品成立后与产品相关的会计师费、审计费、诉讼（仲裁）费、律师费、信息披露费、公证费、执行费用等；3.增值税及附加税费等；4.其他按照国家有关规定可以列入的费用。上述税费在实际发生时按照实际发生额从理财产品财产支付</w:t>
            </w:r>
            <w:r>
              <w:rPr>
                <w:rFonts w:hint="eastAsia" w:ascii="微软雅黑" w:hAnsi="微软雅黑" w:eastAsia="微软雅黑"/>
                <w:szCs w:val="21"/>
                <w:highlight w:val="none"/>
              </w:rPr>
              <w:t>。</w:t>
            </w:r>
          </w:p>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lang w:val="en-US" w:eastAsia="zh-CN"/>
              </w:rPr>
              <w:t>三、</w:t>
            </w:r>
            <w:r>
              <w:rPr>
                <w:rFonts w:hint="eastAsia" w:ascii="微软雅黑" w:hAnsi="微软雅黑" w:eastAsia="微软雅黑"/>
                <w:szCs w:val="21"/>
                <w:highlight w:val="none"/>
              </w:rPr>
              <w:t>浮动费用</w:t>
            </w:r>
          </w:p>
          <w:p>
            <w:pPr>
              <w:spacing w:line="320" w:lineRule="exact"/>
              <w:rPr>
                <w:rFonts w:hint="eastAsia" w:ascii="微软雅黑" w:hAnsi="微软雅黑" w:eastAsia="微软雅黑"/>
                <w:szCs w:val="21"/>
                <w:highlight w:val="none"/>
              </w:rPr>
            </w:pPr>
            <w:r>
              <w:rPr>
                <w:rFonts w:hint="eastAsia" w:ascii="微软雅黑" w:hAnsi="微软雅黑" w:eastAsia="微软雅黑"/>
                <w:szCs w:val="21"/>
                <w:highlight w:val="none"/>
              </w:rPr>
              <w:t>扣除产品各项费用（包括不限于产品托管费、运营服务费、销售手续费、固定投资管理费和其他费用）后，若本产品投资收益低于业绩比较基准上限（含），管理人不收取浮动投资管理费；若投资收益超过业绩比较基准上限，超过部分作为管理人的浮动投资管理费。计提频率为产品每一估值日。</w:t>
            </w:r>
          </w:p>
          <w:p>
            <w:pPr>
              <w:spacing w:line="320" w:lineRule="exact"/>
              <w:rPr>
                <w:rFonts w:hint="eastAsia" w:ascii="微软雅黑" w:hAnsi="微软雅黑" w:eastAsia="微软雅黑"/>
                <w:szCs w:val="21"/>
                <w:highlight w:val="none"/>
              </w:rPr>
            </w:pPr>
          </w:p>
          <w:p>
            <w:pPr>
              <w:spacing w:line="320" w:lineRule="exact"/>
              <w:rPr>
                <w:rFonts w:hint="eastAsia" w:ascii="微软雅黑" w:hAnsi="微软雅黑" w:eastAsia="微软雅黑"/>
                <w:szCs w:val="21"/>
                <w:highlight w:val="none"/>
              </w:rPr>
            </w:pPr>
            <w:r>
              <w:rPr>
                <w:rFonts w:hint="eastAsia" w:ascii="微软雅黑" w:hAnsi="微软雅黑" w:eastAsia="微软雅黑"/>
                <w:szCs w:val="21"/>
                <w:highlight w:val="none"/>
              </w:rPr>
              <w:t>珠海华润银行有权对本理财产品的收费项目、收费条件、收费方式、费率等进行调整。</w:t>
            </w:r>
            <w:bookmarkEnd w:id="0"/>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top"/>
          </w:tcPr>
          <w:p>
            <w:pPr>
              <w:spacing w:line="320" w:lineRule="exact"/>
              <w:rPr>
                <w:rFonts w:ascii="微软雅黑" w:hAnsi="微软雅黑" w:eastAsia="微软雅黑"/>
                <w:b/>
                <w:szCs w:val="21"/>
                <w:highlight w:val="none"/>
              </w:rPr>
            </w:pPr>
            <w:r>
              <w:rPr>
                <w:rFonts w:hint="eastAsia" w:ascii="微软雅黑" w:hAnsi="微软雅黑" w:eastAsia="微软雅黑"/>
                <w:szCs w:val="21"/>
                <w:highlight w:val="none"/>
              </w:rPr>
              <w:t xml:space="preserve">节假日 </w:t>
            </w:r>
          </w:p>
        </w:tc>
        <w:tc>
          <w:tcPr>
            <w:tcW w:w="7200"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中国法定公众假日（最终以国务院公布的节假日为准）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top"/>
          </w:tcPr>
          <w:p>
            <w:pPr>
              <w:spacing w:line="320" w:lineRule="exact"/>
              <w:rPr>
                <w:rFonts w:ascii="微软雅黑" w:hAnsi="微软雅黑" w:eastAsia="微软雅黑"/>
                <w:b/>
                <w:szCs w:val="21"/>
                <w:highlight w:val="none"/>
              </w:rPr>
            </w:pPr>
            <w:r>
              <w:rPr>
                <w:rFonts w:hint="eastAsia" w:ascii="微软雅黑" w:hAnsi="微软雅黑" w:eastAsia="微软雅黑"/>
                <w:szCs w:val="21"/>
                <w:highlight w:val="none"/>
              </w:rPr>
              <w:t xml:space="preserve">工作日 </w:t>
            </w:r>
          </w:p>
        </w:tc>
        <w:tc>
          <w:tcPr>
            <w:tcW w:w="7200" w:type="dxa"/>
            <w:noWrap w:val="0"/>
            <w:vAlign w:val="top"/>
          </w:tcPr>
          <w:p>
            <w:pPr>
              <w:spacing w:line="320" w:lineRule="exact"/>
              <w:rPr>
                <w:rFonts w:ascii="微软雅黑" w:hAnsi="微软雅黑" w:eastAsia="微软雅黑"/>
                <w:b/>
                <w:szCs w:val="21"/>
                <w:highlight w:val="none"/>
              </w:rPr>
            </w:pPr>
            <w:r>
              <w:rPr>
                <w:rFonts w:hint="eastAsia" w:ascii="微软雅黑" w:hAnsi="微软雅黑" w:eastAsia="微软雅黑"/>
                <w:szCs w:val="21"/>
                <w:highlight w:val="none"/>
              </w:rPr>
              <w:t>国家法定工作日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税款</w:t>
            </w:r>
          </w:p>
        </w:tc>
        <w:tc>
          <w:tcPr>
            <w:tcW w:w="7200"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根据中国增值税等税收相关法律法规、税收政策等要求，理财产品运营过程中发生的增值税应税行为，以产品管理人为纳税人，计算并缴纳增值税及附加税费。珠海华润银行作为理财产品的管理人，将按照相关规定计算应缴纳的税款，并从本理财产品中支付，由此可能会使本理财产品净值或实际收益降低，请客户知悉。客户从理财产品取得的收益应缴纳的税款，由客户自行申报及缴纳。</w:t>
            </w:r>
          </w:p>
        </w:tc>
      </w:tr>
    </w:tbl>
    <w:p>
      <w:pPr>
        <w:adjustRightInd w:val="0"/>
        <w:snapToGrid w:val="0"/>
        <w:spacing w:line="320" w:lineRule="exact"/>
        <w:ind w:left="456"/>
        <w:rPr>
          <w:rFonts w:ascii="微软雅黑" w:hAnsi="微软雅黑" w:eastAsia="微软雅黑" w:cs="Arial"/>
          <w:b/>
          <w:szCs w:val="21"/>
          <w:highlight w:val="none"/>
        </w:rPr>
      </w:pPr>
    </w:p>
    <w:p>
      <w:pPr>
        <w:adjustRightInd w:val="0"/>
        <w:snapToGrid w:val="0"/>
        <w:spacing w:line="320" w:lineRule="exact"/>
        <w:ind w:left="0"/>
        <w:rPr>
          <w:rFonts w:hint="eastAsia" w:ascii="微软雅黑" w:hAnsi="微软雅黑" w:eastAsia="微软雅黑" w:cs="Arial"/>
          <w:b/>
          <w:szCs w:val="21"/>
          <w:highlight w:val="none"/>
          <w:lang w:eastAsia="zh-CN"/>
        </w:rPr>
      </w:pPr>
      <w:r>
        <w:rPr>
          <w:rFonts w:hint="eastAsia" w:ascii="微软雅黑" w:hAnsi="微软雅黑" w:eastAsia="微软雅黑" w:cs="Arial"/>
          <w:b/>
          <w:szCs w:val="21"/>
          <w:highlight w:val="none"/>
          <w:lang w:eastAsia="zh-CN"/>
        </w:rPr>
        <w:t>管理人</w:t>
      </w:r>
    </w:p>
    <w:p>
      <w:pPr>
        <w:adjustRightInd w:val="0"/>
        <w:snapToGrid w:val="0"/>
        <w:spacing w:line="320" w:lineRule="exact"/>
        <w:ind w:left="0" w:firstLine="420" w:firstLineChars="200"/>
        <w:rPr>
          <w:rFonts w:hint="eastAsia" w:ascii="微软雅黑" w:hAnsi="微软雅黑" w:eastAsia="微软雅黑" w:cs="Arial"/>
          <w:b w:val="0"/>
          <w:bCs/>
          <w:szCs w:val="21"/>
          <w:highlight w:val="none"/>
          <w:lang w:eastAsia="zh-CN"/>
        </w:rPr>
      </w:pPr>
      <w:r>
        <w:rPr>
          <w:rFonts w:hint="eastAsia" w:ascii="微软雅黑" w:hAnsi="微软雅黑" w:eastAsia="微软雅黑" w:cs="Arial"/>
          <w:b w:val="0"/>
          <w:bCs/>
          <w:szCs w:val="21"/>
          <w:highlight w:val="none"/>
          <w:lang w:eastAsia="zh-CN"/>
        </w:rPr>
        <w:t>珠海华润银行股份有限公司</w:t>
      </w:r>
      <w:r>
        <w:rPr>
          <w:rFonts w:hint="eastAsia" w:ascii="微软雅黑" w:hAnsi="微软雅黑" w:eastAsia="微软雅黑" w:cs="Arial"/>
          <w:b w:val="0"/>
          <w:bCs/>
          <w:szCs w:val="21"/>
          <w:highlight w:val="none"/>
          <w:lang w:val="en-US" w:eastAsia="zh-CN"/>
        </w:rPr>
        <w:t>作为本理财产品管理人，</w:t>
      </w:r>
      <w:r>
        <w:rPr>
          <w:rFonts w:hint="eastAsia" w:ascii="微软雅黑" w:hAnsi="微软雅黑" w:eastAsia="微软雅黑" w:cs="Arial"/>
          <w:b w:val="0"/>
          <w:bCs/>
          <w:szCs w:val="21"/>
          <w:highlight w:val="none"/>
          <w:lang w:eastAsia="zh-CN"/>
        </w:rPr>
        <w:t>负责本理财产品的投资运作和产品管理，投资者在此授权并同意珠海华润银行股份有限公司享有以下权利：</w:t>
      </w:r>
    </w:p>
    <w:p>
      <w:pPr>
        <w:numPr>
          <w:ilvl w:val="-1"/>
          <w:numId w:val="0"/>
        </w:numPr>
        <w:adjustRightInd w:val="0"/>
        <w:snapToGrid w:val="0"/>
        <w:spacing w:line="320" w:lineRule="exact"/>
        <w:ind w:left="0" w:firstLine="420" w:firstLineChars="200"/>
        <w:rPr>
          <w:rFonts w:hint="eastAsia" w:ascii="微软雅黑" w:hAnsi="微软雅黑" w:eastAsia="微软雅黑" w:cs="Arial"/>
          <w:b w:val="0"/>
          <w:bCs/>
          <w:szCs w:val="21"/>
          <w:highlight w:val="none"/>
          <w:lang w:val="en-US" w:eastAsia="zh-CN"/>
        </w:rPr>
      </w:pPr>
      <w:r>
        <w:rPr>
          <w:rFonts w:hint="eastAsia" w:ascii="微软雅黑" w:hAnsi="微软雅黑" w:eastAsia="微软雅黑" w:cs="Arial"/>
          <w:b w:val="0"/>
          <w:bCs/>
          <w:szCs w:val="21"/>
          <w:highlight w:val="none"/>
          <w:lang w:val="en-US" w:eastAsia="zh-CN"/>
        </w:rPr>
        <w:t>1.按照</w:t>
      </w:r>
      <w:r>
        <w:rPr>
          <w:rFonts w:hint="eastAsia" w:ascii="微软雅黑" w:hAnsi="微软雅黑" w:eastAsia="微软雅黑" w:cs="Arial"/>
          <w:bCs/>
          <w:sz w:val="21"/>
          <w:szCs w:val="21"/>
          <w:highlight w:val="none"/>
          <w:lang w:eastAsia="zh-CN"/>
        </w:rPr>
        <w:t>理财产品销售文件</w:t>
      </w:r>
      <w:r>
        <w:rPr>
          <w:rFonts w:hint="eastAsia" w:ascii="微软雅黑" w:hAnsi="微软雅黑" w:eastAsia="微软雅黑" w:cs="Arial"/>
          <w:b w:val="0"/>
          <w:bCs/>
          <w:szCs w:val="21"/>
          <w:highlight w:val="none"/>
          <w:lang w:val="en-US" w:eastAsia="zh-CN"/>
        </w:rPr>
        <w:t>的约定，管理、运用和处分理财产品资金；</w:t>
      </w:r>
    </w:p>
    <w:p>
      <w:pPr>
        <w:numPr>
          <w:ilvl w:val="-1"/>
          <w:numId w:val="0"/>
        </w:numPr>
        <w:adjustRightInd w:val="0"/>
        <w:snapToGrid w:val="0"/>
        <w:spacing w:line="320" w:lineRule="exact"/>
        <w:ind w:left="0" w:firstLine="420" w:firstLineChars="200"/>
        <w:rPr>
          <w:rFonts w:hint="eastAsia" w:ascii="微软雅黑" w:hAnsi="微软雅黑" w:eastAsia="微软雅黑" w:cs="Arial"/>
          <w:b w:val="0"/>
          <w:bCs/>
          <w:szCs w:val="21"/>
          <w:highlight w:val="none"/>
          <w:lang w:eastAsia="zh-CN"/>
        </w:rPr>
      </w:pPr>
      <w:r>
        <w:rPr>
          <w:rFonts w:hint="eastAsia" w:ascii="微软雅黑" w:hAnsi="微软雅黑" w:eastAsia="微软雅黑" w:cs="Arial"/>
          <w:b w:val="0"/>
          <w:bCs/>
          <w:szCs w:val="21"/>
          <w:highlight w:val="none"/>
          <w:lang w:val="en-US" w:eastAsia="zh-CN"/>
        </w:rPr>
        <w:t>2.按照理财产品销售文件的约定，及时、足额获得投资管理费；</w:t>
      </w:r>
    </w:p>
    <w:p>
      <w:pPr>
        <w:numPr>
          <w:ilvl w:val="-1"/>
          <w:numId w:val="0"/>
        </w:numPr>
        <w:adjustRightInd w:val="0"/>
        <w:snapToGrid w:val="0"/>
        <w:spacing w:line="320" w:lineRule="exact"/>
        <w:ind w:left="0" w:firstLine="420" w:firstLineChars="200"/>
        <w:rPr>
          <w:rFonts w:hint="eastAsia" w:ascii="微软雅黑" w:hAnsi="微软雅黑" w:eastAsia="微软雅黑" w:cs="Arial"/>
          <w:b w:val="0"/>
          <w:bCs/>
          <w:szCs w:val="21"/>
          <w:highlight w:val="none"/>
          <w:lang w:eastAsia="zh-CN"/>
        </w:rPr>
      </w:pPr>
      <w:r>
        <w:rPr>
          <w:rFonts w:hint="eastAsia" w:ascii="微软雅黑" w:hAnsi="微软雅黑" w:eastAsia="微软雅黑" w:cs="Arial"/>
          <w:b w:val="0"/>
          <w:bCs/>
          <w:szCs w:val="21"/>
          <w:highlight w:val="none"/>
          <w:lang w:val="en-US" w:eastAsia="zh-CN"/>
        </w:rPr>
        <w:t>3.有权根据理财产品销售文件的约定提前终止本理财产品或延长本理财产品的期限；</w:t>
      </w:r>
    </w:p>
    <w:p>
      <w:pPr>
        <w:numPr>
          <w:ilvl w:val="-1"/>
          <w:numId w:val="0"/>
        </w:numPr>
        <w:adjustRightInd w:val="0"/>
        <w:snapToGrid w:val="0"/>
        <w:spacing w:line="320" w:lineRule="exact"/>
        <w:ind w:left="0" w:firstLine="420" w:firstLineChars="200"/>
        <w:rPr>
          <w:rFonts w:hint="eastAsia" w:ascii="微软雅黑" w:hAnsi="微软雅黑" w:eastAsia="微软雅黑" w:cs="Arial"/>
          <w:b w:val="0"/>
          <w:bCs/>
          <w:szCs w:val="21"/>
          <w:highlight w:val="none"/>
          <w:lang w:eastAsia="zh-CN"/>
        </w:rPr>
      </w:pPr>
      <w:r>
        <w:rPr>
          <w:rFonts w:hint="eastAsia" w:ascii="微软雅黑" w:hAnsi="微软雅黑" w:eastAsia="微软雅黑" w:cs="Arial"/>
          <w:b w:val="0"/>
          <w:bCs/>
          <w:szCs w:val="21"/>
          <w:highlight w:val="none"/>
          <w:lang w:val="en-US" w:eastAsia="zh-CN"/>
        </w:rPr>
        <w:t>4.以其固有财产先行垫付因处理本理财产品相关事务所支出的理财产品费用及税费的，对理财产品资金享有优先受偿的权利；</w:t>
      </w:r>
    </w:p>
    <w:p>
      <w:pPr>
        <w:numPr>
          <w:ilvl w:val="-1"/>
          <w:numId w:val="0"/>
        </w:numPr>
        <w:adjustRightInd w:val="0"/>
        <w:snapToGrid w:val="0"/>
        <w:spacing w:line="320" w:lineRule="exact"/>
        <w:ind w:left="0" w:firstLine="420" w:firstLineChars="200"/>
        <w:rPr>
          <w:rFonts w:hint="eastAsia" w:ascii="微软雅黑" w:hAnsi="微软雅黑" w:eastAsia="微软雅黑" w:cs="Arial"/>
          <w:b w:val="0"/>
          <w:bCs/>
          <w:szCs w:val="21"/>
          <w:highlight w:val="none"/>
          <w:lang w:eastAsia="zh-CN"/>
        </w:rPr>
      </w:pPr>
      <w:r>
        <w:rPr>
          <w:rFonts w:hint="eastAsia" w:ascii="微软雅黑" w:hAnsi="微软雅黑" w:eastAsia="微软雅黑" w:cs="Arial"/>
          <w:b w:val="0"/>
          <w:bCs/>
          <w:szCs w:val="21"/>
          <w:highlight w:val="none"/>
          <w:lang w:val="en-US" w:eastAsia="zh-CN"/>
        </w:rPr>
        <w:t>5.</w:t>
      </w:r>
      <w:r>
        <w:rPr>
          <w:rFonts w:hint="eastAsia" w:ascii="微软雅黑" w:hAnsi="微软雅黑" w:eastAsia="微软雅黑" w:cs="Arial"/>
          <w:b w:val="0"/>
          <w:bCs/>
          <w:szCs w:val="21"/>
          <w:highlight w:val="none"/>
          <w:lang w:eastAsia="zh-CN"/>
        </w:rPr>
        <w:t>有权调整认</w:t>
      </w:r>
      <w:r>
        <w:rPr>
          <w:rFonts w:hint="eastAsia" w:ascii="微软雅黑" w:hAnsi="微软雅黑" w:eastAsia="微软雅黑" w:cs="Arial"/>
          <w:b w:val="0"/>
          <w:bCs/>
          <w:szCs w:val="21"/>
          <w:highlight w:val="none"/>
          <w:lang w:val="en-US" w:eastAsia="zh-CN"/>
        </w:rPr>
        <w:t>/申购资金的最低金额；</w:t>
      </w:r>
    </w:p>
    <w:p>
      <w:pPr>
        <w:numPr>
          <w:ilvl w:val="-1"/>
          <w:numId w:val="0"/>
        </w:numPr>
        <w:adjustRightInd w:val="0"/>
        <w:snapToGrid w:val="0"/>
        <w:spacing w:line="320" w:lineRule="exact"/>
        <w:ind w:left="0" w:firstLine="420" w:firstLineChars="200"/>
        <w:rPr>
          <w:rFonts w:hint="eastAsia" w:ascii="微软雅黑" w:hAnsi="微软雅黑" w:eastAsia="微软雅黑" w:cs="Arial"/>
          <w:b w:val="0"/>
          <w:bCs/>
          <w:szCs w:val="21"/>
          <w:highlight w:val="none"/>
          <w:lang w:eastAsia="zh-CN"/>
        </w:rPr>
      </w:pPr>
      <w:r>
        <w:rPr>
          <w:rFonts w:hint="eastAsia" w:ascii="微软雅黑" w:hAnsi="微软雅黑" w:eastAsia="微软雅黑" w:cs="Arial"/>
          <w:b w:val="0"/>
          <w:bCs/>
          <w:szCs w:val="21"/>
          <w:highlight w:val="none"/>
          <w:lang w:val="en-US" w:eastAsia="zh-CN"/>
        </w:rPr>
        <w:t>6.有权按照法律规定和监管机构的要求将投资者的信息向有权部门或相关机构披露；</w:t>
      </w:r>
    </w:p>
    <w:p>
      <w:pPr>
        <w:numPr>
          <w:ilvl w:val="-1"/>
          <w:numId w:val="0"/>
        </w:numPr>
        <w:adjustRightInd w:val="0"/>
        <w:snapToGrid w:val="0"/>
        <w:spacing w:line="320" w:lineRule="exact"/>
        <w:ind w:left="0" w:firstLine="420" w:firstLineChars="200"/>
        <w:rPr>
          <w:rFonts w:hint="eastAsia" w:ascii="微软雅黑" w:hAnsi="微软雅黑" w:eastAsia="微软雅黑" w:cs="Arial"/>
          <w:b w:val="0"/>
          <w:bCs/>
          <w:szCs w:val="21"/>
          <w:highlight w:val="none"/>
          <w:lang w:eastAsia="zh-CN"/>
        </w:rPr>
      </w:pPr>
      <w:r>
        <w:rPr>
          <w:rFonts w:hint="eastAsia" w:ascii="微软雅黑" w:hAnsi="微软雅黑" w:eastAsia="微软雅黑" w:cs="Arial"/>
          <w:b w:val="0"/>
          <w:bCs/>
          <w:szCs w:val="21"/>
          <w:highlight w:val="none"/>
          <w:lang w:val="en-US" w:eastAsia="zh-CN"/>
        </w:rPr>
        <w:t>7.</w:t>
      </w:r>
      <w:r>
        <w:rPr>
          <w:rFonts w:hint="eastAsia" w:ascii="微软雅黑" w:hAnsi="微软雅黑" w:eastAsia="微软雅黑" w:cs="Arial"/>
          <w:b w:val="0"/>
          <w:bCs/>
          <w:szCs w:val="21"/>
          <w:highlight w:val="none"/>
          <w:lang w:eastAsia="zh-CN"/>
        </w:rPr>
        <w:t>以理财产品管理人的名义，依照法律法规相关规定以及为理财产品的利益，对被投资的各类基金（含公募基金和私募基金）、公司</w:t>
      </w:r>
      <w:r>
        <w:rPr>
          <w:rFonts w:hint="eastAsia" w:ascii="微软雅黑" w:hAnsi="微软雅黑" w:eastAsia="微软雅黑" w:cs="Arial"/>
          <w:b w:val="0"/>
          <w:bCs/>
          <w:szCs w:val="21"/>
          <w:highlight w:val="none"/>
          <w:lang w:val="en-US" w:eastAsia="zh-CN"/>
        </w:rPr>
        <w:t>/企业等行使出资人/投资者权利（包括但不限于表决投票的权利）以及行使因理财产品财产投资于证券类基础资产（含债券）或其他基础资产（包括但不限于债权类资产）所产生的相关权利；</w:t>
      </w:r>
    </w:p>
    <w:p>
      <w:pPr>
        <w:numPr>
          <w:ilvl w:val="-1"/>
          <w:numId w:val="0"/>
        </w:numPr>
        <w:adjustRightInd w:val="0"/>
        <w:snapToGrid w:val="0"/>
        <w:spacing w:line="320" w:lineRule="exact"/>
        <w:ind w:left="0" w:firstLine="420" w:firstLineChars="200"/>
        <w:rPr>
          <w:rFonts w:hint="eastAsia" w:ascii="微软雅黑" w:hAnsi="微软雅黑" w:eastAsia="微软雅黑" w:cs="Arial"/>
          <w:b w:val="0"/>
          <w:bCs/>
          <w:szCs w:val="21"/>
          <w:highlight w:val="none"/>
          <w:lang w:eastAsia="zh-CN"/>
        </w:rPr>
      </w:pPr>
      <w:r>
        <w:rPr>
          <w:rFonts w:hint="eastAsia" w:ascii="微软雅黑" w:hAnsi="微软雅黑" w:eastAsia="微软雅黑" w:cs="Arial"/>
          <w:b w:val="0"/>
          <w:bCs/>
          <w:szCs w:val="21"/>
          <w:highlight w:val="none"/>
          <w:lang w:val="en-US" w:eastAsia="zh-CN"/>
        </w:rPr>
        <w:t>8.以理财产品管理人的名义，依照法律法规相关规定以及代表理财产品份额持有人的利益行使代为追索（包括但不限于提起诉讼/仲裁、申请保全/执行的权利）、和解等权利或者实施其他法律行为；</w:t>
      </w:r>
    </w:p>
    <w:p>
      <w:pPr>
        <w:numPr>
          <w:ilvl w:val="-1"/>
          <w:numId w:val="0"/>
        </w:numPr>
        <w:adjustRightInd w:val="0"/>
        <w:snapToGrid w:val="0"/>
        <w:spacing w:line="320" w:lineRule="exact"/>
        <w:ind w:left="0" w:firstLine="420" w:firstLineChars="200"/>
        <w:rPr>
          <w:rFonts w:hint="eastAsia" w:ascii="微软雅黑" w:hAnsi="微软雅黑" w:eastAsia="微软雅黑" w:cs="Arial"/>
          <w:b w:val="0"/>
          <w:bCs/>
          <w:szCs w:val="21"/>
          <w:highlight w:val="none"/>
          <w:lang w:eastAsia="zh-CN"/>
        </w:rPr>
      </w:pPr>
      <w:r>
        <w:rPr>
          <w:rFonts w:hint="eastAsia" w:ascii="微软雅黑" w:hAnsi="微软雅黑" w:eastAsia="微软雅黑" w:cs="Arial"/>
          <w:b w:val="0"/>
          <w:bCs/>
          <w:szCs w:val="21"/>
          <w:highlight w:val="none"/>
          <w:lang w:val="en-US" w:eastAsia="zh-CN"/>
        </w:rPr>
        <w:t>9.在法律法规、监管政策允许的前提下调整估值日；</w:t>
      </w:r>
    </w:p>
    <w:p>
      <w:pPr>
        <w:numPr>
          <w:ilvl w:val="-1"/>
          <w:numId w:val="0"/>
        </w:numPr>
        <w:adjustRightInd w:val="0"/>
        <w:snapToGrid w:val="0"/>
        <w:spacing w:line="320" w:lineRule="exact"/>
        <w:ind w:left="0" w:firstLine="420" w:firstLineChars="200"/>
        <w:rPr>
          <w:rFonts w:hint="eastAsia" w:ascii="微软雅黑" w:hAnsi="微软雅黑" w:eastAsia="微软雅黑" w:cs="Arial"/>
          <w:b w:val="0"/>
          <w:bCs/>
          <w:szCs w:val="21"/>
          <w:highlight w:val="none"/>
          <w:lang w:eastAsia="zh-CN"/>
        </w:rPr>
      </w:pPr>
      <w:r>
        <w:rPr>
          <w:rFonts w:hint="eastAsia" w:ascii="微软雅黑" w:hAnsi="微软雅黑" w:eastAsia="微软雅黑" w:cs="Arial"/>
          <w:b w:val="0"/>
          <w:bCs/>
          <w:szCs w:val="21"/>
          <w:highlight w:val="none"/>
          <w:lang w:val="en-US" w:eastAsia="zh-CN"/>
        </w:rPr>
        <w:t>10.行使法律法规、监管政策和</w:t>
      </w:r>
      <w:r>
        <w:rPr>
          <w:rFonts w:hint="eastAsia" w:ascii="微软雅黑" w:hAnsi="微软雅黑" w:eastAsia="微软雅黑" w:cs="Arial"/>
          <w:bCs/>
          <w:sz w:val="21"/>
          <w:szCs w:val="21"/>
          <w:highlight w:val="none"/>
          <w:lang w:eastAsia="zh-CN"/>
        </w:rPr>
        <w:t>理财产品销售文件</w:t>
      </w:r>
      <w:r>
        <w:rPr>
          <w:rFonts w:hint="eastAsia" w:ascii="微软雅黑" w:hAnsi="微软雅黑" w:eastAsia="微软雅黑" w:cs="Arial"/>
          <w:b w:val="0"/>
          <w:bCs/>
          <w:szCs w:val="21"/>
          <w:highlight w:val="none"/>
          <w:lang w:val="en-US" w:eastAsia="zh-CN"/>
        </w:rPr>
        <w:t>约定的其他权利。</w:t>
      </w:r>
    </w:p>
    <w:p>
      <w:pPr>
        <w:adjustRightInd w:val="0"/>
        <w:snapToGrid w:val="0"/>
        <w:spacing w:line="320" w:lineRule="exact"/>
        <w:ind w:left="0"/>
        <w:rPr>
          <w:rFonts w:hint="eastAsia" w:ascii="微软雅黑" w:hAnsi="微软雅黑" w:eastAsia="微软雅黑" w:cs="Arial"/>
          <w:b/>
          <w:szCs w:val="21"/>
          <w:highlight w:val="none"/>
          <w:lang w:eastAsia="zh-CN"/>
        </w:rPr>
      </w:pPr>
    </w:p>
    <w:p>
      <w:pPr>
        <w:adjustRightInd w:val="0"/>
        <w:snapToGrid w:val="0"/>
        <w:spacing w:line="320" w:lineRule="exact"/>
        <w:ind w:left="0"/>
        <w:rPr>
          <w:rFonts w:hint="eastAsia" w:ascii="微软雅黑" w:hAnsi="微软雅黑" w:eastAsia="微软雅黑" w:cs="Arial"/>
          <w:b/>
          <w:szCs w:val="21"/>
          <w:highlight w:val="none"/>
          <w:lang w:eastAsia="zh-CN"/>
        </w:rPr>
      </w:pPr>
      <w:r>
        <w:rPr>
          <w:rFonts w:hint="eastAsia" w:ascii="微软雅黑" w:hAnsi="微软雅黑" w:eastAsia="微软雅黑" w:cs="Arial"/>
          <w:b/>
          <w:szCs w:val="21"/>
          <w:highlight w:val="none"/>
          <w:lang w:eastAsia="zh-CN"/>
        </w:rPr>
        <w:t>托管人</w:t>
      </w:r>
    </w:p>
    <w:p>
      <w:pPr>
        <w:adjustRightInd w:val="0"/>
        <w:snapToGrid w:val="0"/>
        <w:spacing w:line="320" w:lineRule="exact"/>
        <w:ind w:left="0" w:firstLine="420" w:firstLineChars="200"/>
        <w:rPr>
          <w:rFonts w:hint="eastAsia" w:ascii="微软雅黑" w:hAnsi="微软雅黑" w:eastAsia="微软雅黑" w:cs="Arial"/>
          <w:b w:val="0"/>
          <w:bCs/>
          <w:szCs w:val="21"/>
          <w:highlight w:val="none"/>
          <w:lang w:val="en-US" w:eastAsia="zh-CN"/>
        </w:rPr>
      </w:pPr>
      <w:r>
        <w:rPr>
          <w:rFonts w:hint="eastAsia" w:ascii="微软雅黑" w:hAnsi="微软雅黑" w:eastAsia="微软雅黑" w:cs="Arial"/>
          <w:b w:val="0"/>
          <w:bCs/>
          <w:szCs w:val="21"/>
          <w:highlight w:val="none"/>
          <w:lang w:val="en-US" w:eastAsia="zh-CN"/>
        </w:rPr>
        <w:t>宁波银行作为本理财产品的托管人，主要职责如下：</w:t>
      </w:r>
    </w:p>
    <w:p>
      <w:pPr>
        <w:numPr>
          <w:ilvl w:val="-1"/>
          <w:numId w:val="0"/>
        </w:numPr>
        <w:adjustRightInd w:val="0"/>
        <w:snapToGrid w:val="0"/>
        <w:spacing w:line="320" w:lineRule="exact"/>
        <w:ind w:left="0" w:firstLine="420" w:firstLineChars="200"/>
        <w:rPr>
          <w:rFonts w:hint="eastAsia" w:ascii="微软雅黑" w:hAnsi="微软雅黑" w:eastAsia="微软雅黑" w:cs="Arial"/>
          <w:b w:val="0"/>
          <w:bCs/>
          <w:szCs w:val="21"/>
          <w:highlight w:val="none"/>
          <w:lang w:val="en-US" w:eastAsia="zh-CN"/>
        </w:rPr>
      </w:pPr>
      <w:r>
        <w:rPr>
          <w:rFonts w:hint="eastAsia" w:ascii="微软雅黑" w:hAnsi="微软雅黑" w:eastAsia="微软雅黑" w:cs="Arial"/>
          <w:b w:val="0"/>
          <w:bCs/>
          <w:szCs w:val="21"/>
          <w:highlight w:val="none"/>
          <w:lang w:val="en-US" w:eastAsia="zh-CN"/>
        </w:rPr>
        <w:t>1.安全保管理财产品财产；</w:t>
      </w:r>
    </w:p>
    <w:p>
      <w:pPr>
        <w:numPr>
          <w:ilvl w:val="-1"/>
          <w:numId w:val="0"/>
        </w:numPr>
        <w:adjustRightInd w:val="0"/>
        <w:snapToGrid w:val="0"/>
        <w:spacing w:line="320" w:lineRule="exact"/>
        <w:ind w:left="0" w:firstLine="420" w:firstLineChars="200"/>
        <w:rPr>
          <w:rFonts w:hint="default" w:ascii="微软雅黑" w:hAnsi="微软雅黑" w:eastAsia="微软雅黑" w:cs="Arial"/>
          <w:b w:val="0"/>
          <w:bCs/>
          <w:szCs w:val="21"/>
          <w:highlight w:val="none"/>
          <w:lang w:val="en-US" w:eastAsia="zh-CN"/>
        </w:rPr>
      </w:pPr>
      <w:r>
        <w:rPr>
          <w:rFonts w:hint="eastAsia" w:ascii="微软雅黑" w:hAnsi="微软雅黑" w:eastAsia="微软雅黑" w:cs="Arial"/>
          <w:b w:val="0"/>
          <w:bCs/>
          <w:szCs w:val="21"/>
          <w:highlight w:val="none"/>
          <w:lang w:val="en-US" w:eastAsia="zh-CN"/>
        </w:rPr>
        <w:t>2.为理财产品开设银行托管账户、证券账户等；</w:t>
      </w:r>
    </w:p>
    <w:p>
      <w:pPr>
        <w:numPr>
          <w:ilvl w:val="-1"/>
          <w:numId w:val="0"/>
        </w:numPr>
        <w:adjustRightInd w:val="0"/>
        <w:snapToGrid w:val="0"/>
        <w:spacing w:line="320" w:lineRule="exact"/>
        <w:ind w:left="0" w:firstLine="420" w:firstLineChars="200"/>
        <w:rPr>
          <w:rFonts w:hint="default" w:ascii="微软雅黑" w:hAnsi="微软雅黑" w:eastAsia="微软雅黑" w:cs="Arial"/>
          <w:b w:val="0"/>
          <w:bCs/>
          <w:szCs w:val="21"/>
          <w:highlight w:val="none"/>
          <w:lang w:val="en-US" w:eastAsia="zh-CN"/>
        </w:rPr>
      </w:pPr>
      <w:r>
        <w:rPr>
          <w:rFonts w:hint="eastAsia" w:ascii="微软雅黑" w:hAnsi="微软雅黑" w:eastAsia="微软雅黑" w:cs="Arial"/>
          <w:b w:val="0"/>
          <w:bCs/>
          <w:szCs w:val="21"/>
          <w:highlight w:val="none"/>
          <w:lang w:val="en-US" w:eastAsia="zh-CN"/>
        </w:rPr>
        <w:t>3.确认与执行理财产品资金划拨指令，办理理财产品资金的收付，核对理财产品资金划拨记录；</w:t>
      </w:r>
    </w:p>
    <w:p>
      <w:pPr>
        <w:numPr>
          <w:ilvl w:val="-1"/>
          <w:numId w:val="0"/>
        </w:numPr>
        <w:adjustRightInd w:val="0"/>
        <w:snapToGrid w:val="0"/>
        <w:spacing w:line="320" w:lineRule="exact"/>
        <w:ind w:left="0" w:firstLine="420" w:firstLineChars="200"/>
        <w:rPr>
          <w:rFonts w:hint="default" w:ascii="微软雅黑" w:hAnsi="微软雅黑" w:eastAsia="微软雅黑" w:cs="Arial"/>
          <w:b w:val="0"/>
          <w:bCs/>
          <w:szCs w:val="21"/>
          <w:highlight w:val="none"/>
          <w:lang w:val="en-US" w:eastAsia="zh-CN"/>
        </w:rPr>
      </w:pPr>
      <w:r>
        <w:rPr>
          <w:rFonts w:hint="eastAsia" w:ascii="微软雅黑" w:hAnsi="微软雅黑" w:eastAsia="微软雅黑" w:cs="Arial"/>
          <w:b w:val="0"/>
          <w:bCs/>
          <w:szCs w:val="21"/>
          <w:highlight w:val="none"/>
          <w:lang w:val="en-US" w:eastAsia="zh-CN"/>
        </w:rPr>
        <w:t>4.建立与理财产品管理人的对账机制，复核理财产品资产净值、理财产品份额申赎价格，及时核查投资资金的支付和到账情况；</w:t>
      </w:r>
    </w:p>
    <w:p>
      <w:pPr>
        <w:numPr>
          <w:ilvl w:val="-1"/>
          <w:numId w:val="0"/>
        </w:numPr>
        <w:adjustRightInd w:val="0"/>
        <w:snapToGrid w:val="0"/>
        <w:spacing w:line="320" w:lineRule="exact"/>
        <w:ind w:left="0" w:firstLine="420" w:firstLineChars="200"/>
        <w:rPr>
          <w:rFonts w:hint="default" w:ascii="微软雅黑" w:hAnsi="微软雅黑" w:eastAsia="微软雅黑" w:cs="Arial"/>
          <w:b w:val="0"/>
          <w:bCs/>
          <w:szCs w:val="21"/>
          <w:highlight w:val="none"/>
          <w:lang w:val="en-US" w:eastAsia="zh-CN"/>
        </w:rPr>
      </w:pPr>
      <w:r>
        <w:rPr>
          <w:rFonts w:hint="eastAsia" w:ascii="微软雅黑" w:hAnsi="微软雅黑" w:eastAsia="微软雅黑" w:cs="Arial"/>
          <w:b w:val="0"/>
          <w:bCs/>
          <w:szCs w:val="21"/>
          <w:highlight w:val="none"/>
          <w:lang w:val="en-US" w:eastAsia="zh-CN"/>
        </w:rPr>
        <w:t>5.办理与所托管产品业务活动有关的信息披露事项；</w:t>
      </w:r>
    </w:p>
    <w:p>
      <w:pPr>
        <w:numPr>
          <w:ilvl w:val="-1"/>
          <w:numId w:val="0"/>
        </w:numPr>
        <w:adjustRightInd w:val="0"/>
        <w:snapToGrid w:val="0"/>
        <w:spacing w:line="320" w:lineRule="exact"/>
        <w:ind w:left="0" w:firstLine="420" w:firstLineChars="200"/>
        <w:rPr>
          <w:rFonts w:hint="default" w:ascii="微软雅黑" w:hAnsi="微软雅黑" w:eastAsia="微软雅黑" w:cs="Arial"/>
          <w:b w:val="0"/>
          <w:bCs/>
          <w:szCs w:val="21"/>
          <w:highlight w:val="none"/>
          <w:lang w:val="en-US" w:eastAsia="zh-CN"/>
        </w:rPr>
      </w:pPr>
      <w:r>
        <w:rPr>
          <w:rFonts w:hint="eastAsia" w:ascii="微软雅黑" w:hAnsi="微软雅黑" w:eastAsia="微软雅黑" w:cs="Arial"/>
          <w:b w:val="0"/>
          <w:bCs/>
          <w:szCs w:val="21"/>
          <w:highlight w:val="none"/>
          <w:lang w:val="en-US" w:eastAsia="zh-CN"/>
        </w:rPr>
        <w:t>6.监督理财产品投资运作；</w:t>
      </w:r>
    </w:p>
    <w:p>
      <w:pPr>
        <w:numPr>
          <w:ilvl w:val="-1"/>
          <w:numId w:val="0"/>
        </w:numPr>
        <w:adjustRightInd w:val="0"/>
        <w:snapToGrid w:val="0"/>
        <w:spacing w:line="320" w:lineRule="exact"/>
        <w:ind w:left="0" w:firstLine="420" w:firstLineChars="200"/>
        <w:rPr>
          <w:rFonts w:hint="default" w:ascii="微软雅黑" w:hAnsi="微软雅黑" w:eastAsia="微软雅黑" w:cs="Arial"/>
          <w:b w:val="0"/>
          <w:bCs/>
          <w:szCs w:val="21"/>
          <w:highlight w:val="none"/>
          <w:lang w:val="en-US" w:eastAsia="zh-CN"/>
        </w:rPr>
      </w:pPr>
      <w:r>
        <w:rPr>
          <w:rFonts w:hint="eastAsia" w:ascii="微软雅黑" w:hAnsi="微软雅黑" w:eastAsia="微软雅黑" w:cs="Arial"/>
          <w:b w:val="0"/>
          <w:bCs/>
          <w:szCs w:val="21"/>
          <w:highlight w:val="none"/>
          <w:lang w:val="en-US" w:eastAsia="zh-CN"/>
        </w:rPr>
        <w:t>7.对理财产品投资信息和相关资料承担保密责任；</w:t>
      </w:r>
    </w:p>
    <w:p>
      <w:pPr>
        <w:numPr>
          <w:ilvl w:val="-1"/>
          <w:numId w:val="0"/>
        </w:numPr>
        <w:adjustRightInd w:val="0"/>
        <w:snapToGrid w:val="0"/>
        <w:spacing w:line="320" w:lineRule="exact"/>
        <w:ind w:left="0" w:firstLine="420" w:firstLineChars="200"/>
        <w:rPr>
          <w:rFonts w:hint="default" w:ascii="微软雅黑" w:hAnsi="微软雅黑" w:eastAsia="微软雅黑" w:cs="Arial"/>
          <w:b w:val="0"/>
          <w:bCs/>
          <w:szCs w:val="21"/>
          <w:highlight w:val="none"/>
          <w:lang w:val="en-US" w:eastAsia="zh-CN"/>
        </w:rPr>
      </w:pPr>
      <w:r>
        <w:rPr>
          <w:rFonts w:hint="eastAsia" w:ascii="微软雅黑" w:hAnsi="微软雅黑" w:eastAsia="微软雅黑" w:cs="Arial"/>
          <w:b w:val="0"/>
          <w:bCs/>
          <w:szCs w:val="21"/>
          <w:highlight w:val="none"/>
          <w:lang w:val="en-US" w:eastAsia="zh-CN"/>
        </w:rPr>
        <w:t>8.保存托管业务活动的记录、账册、报表和其他相关资料；</w:t>
      </w:r>
    </w:p>
    <w:p>
      <w:pPr>
        <w:numPr>
          <w:ilvl w:val="-1"/>
          <w:numId w:val="0"/>
        </w:numPr>
        <w:adjustRightInd w:val="0"/>
        <w:snapToGrid w:val="0"/>
        <w:spacing w:line="320" w:lineRule="exact"/>
        <w:ind w:left="0" w:firstLine="420" w:firstLineChars="200"/>
        <w:rPr>
          <w:rFonts w:hint="default" w:ascii="微软雅黑" w:hAnsi="微软雅黑" w:eastAsia="微软雅黑" w:cs="Arial"/>
          <w:b w:val="0"/>
          <w:bCs/>
          <w:szCs w:val="21"/>
          <w:highlight w:val="none"/>
          <w:lang w:val="en-US" w:eastAsia="zh-CN"/>
        </w:rPr>
      </w:pPr>
      <w:r>
        <w:rPr>
          <w:rFonts w:hint="eastAsia" w:ascii="微软雅黑" w:hAnsi="微软雅黑" w:eastAsia="微软雅黑" w:cs="Arial"/>
          <w:b w:val="0"/>
          <w:bCs/>
          <w:szCs w:val="21"/>
          <w:highlight w:val="none"/>
          <w:lang w:val="en-US" w:eastAsia="zh-CN"/>
        </w:rPr>
        <w:t>9.法律法规规定和托管合同约定的其他职责。</w:t>
      </w:r>
    </w:p>
    <w:p>
      <w:pPr>
        <w:numPr>
          <w:ilvl w:val="0"/>
          <w:numId w:val="0"/>
        </w:numPr>
        <w:adjustRightInd w:val="0"/>
        <w:snapToGrid w:val="0"/>
        <w:spacing w:line="320" w:lineRule="exact"/>
        <w:ind w:left="0" w:firstLine="420" w:firstLineChars="200"/>
        <w:rPr>
          <w:rFonts w:hint="eastAsia" w:ascii="微软雅黑" w:hAnsi="微软雅黑" w:eastAsia="微软雅黑" w:cs="Arial"/>
          <w:b w:val="0"/>
          <w:bCs/>
          <w:szCs w:val="21"/>
          <w:highlight w:val="none"/>
        </w:rPr>
      </w:pPr>
    </w:p>
    <w:p>
      <w:pPr>
        <w:numPr>
          <w:ilvl w:val="0"/>
          <w:numId w:val="1"/>
        </w:numPr>
        <w:adjustRightInd w:val="0"/>
        <w:snapToGrid w:val="0"/>
        <w:spacing w:line="320" w:lineRule="exact"/>
        <w:ind w:left="456"/>
        <w:rPr>
          <w:rFonts w:hint="eastAsia" w:ascii="微软雅黑" w:hAnsi="微软雅黑" w:eastAsia="微软雅黑" w:cs="Arial"/>
          <w:b/>
          <w:szCs w:val="21"/>
          <w:highlight w:val="none"/>
          <w:lang w:eastAsia="zh-CN"/>
        </w:rPr>
      </w:pPr>
      <w:r>
        <w:rPr>
          <w:rFonts w:hint="eastAsia" w:ascii="微软雅黑" w:hAnsi="微软雅黑" w:eastAsia="微软雅黑" w:cs="Arial"/>
          <w:b/>
          <w:szCs w:val="21"/>
          <w:highlight w:val="none"/>
        </w:rPr>
        <w:t>投资</w:t>
      </w:r>
      <w:r>
        <w:rPr>
          <w:rFonts w:hint="eastAsia" w:ascii="微软雅黑" w:hAnsi="微软雅黑" w:eastAsia="微软雅黑" w:cs="Arial"/>
          <w:b/>
          <w:szCs w:val="21"/>
          <w:highlight w:val="none"/>
          <w:lang w:eastAsia="zh-CN"/>
        </w:rPr>
        <w:t>运作</w:t>
      </w:r>
    </w:p>
    <w:p>
      <w:pPr>
        <w:numPr>
          <w:ilvl w:val="-1"/>
          <w:numId w:val="0"/>
        </w:numPr>
        <w:adjustRightInd w:val="0"/>
        <w:snapToGrid w:val="0"/>
        <w:spacing w:line="320" w:lineRule="exact"/>
        <w:ind w:left="0" w:firstLine="420" w:firstLineChars="200"/>
        <w:rPr>
          <w:rFonts w:hint="eastAsia" w:ascii="微软雅黑" w:hAnsi="微软雅黑" w:eastAsia="微软雅黑" w:cs="Arial"/>
          <w:b/>
          <w:szCs w:val="21"/>
          <w:highlight w:val="none"/>
          <w:lang w:eastAsia="zh-CN"/>
        </w:rPr>
      </w:pPr>
      <w:r>
        <w:rPr>
          <w:rFonts w:hint="eastAsia" w:ascii="微软雅黑" w:hAnsi="微软雅黑" w:eastAsia="微软雅黑" w:cs="Arial"/>
          <w:b/>
          <w:szCs w:val="21"/>
          <w:highlight w:val="none"/>
          <w:lang w:eastAsia="zh-CN"/>
        </w:rPr>
        <w:t>（一）投资范围</w:t>
      </w:r>
    </w:p>
    <w:p>
      <w:pPr>
        <w:spacing w:line="320" w:lineRule="exact"/>
        <w:ind w:firstLine="420" w:firstLineChars="200"/>
        <w:rPr>
          <w:rFonts w:hint="eastAsia" w:ascii="微软雅黑" w:hAnsi="微软雅黑" w:eastAsia="微软雅黑"/>
          <w:szCs w:val="21"/>
          <w:highlight w:val="none"/>
        </w:rPr>
      </w:pPr>
      <w:r>
        <w:rPr>
          <w:rFonts w:hint="eastAsia" w:ascii="微软雅黑" w:hAnsi="微软雅黑" w:eastAsia="微软雅黑"/>
          <w:szCs w:val="21"/>
          <w:highlight w:val="none"/>
        </w:rPr>
        <w:t>本理财产品直接或间接投资于符合监管要求的以下金融资产和金融工具，包括但不限于：</w:t>
      </w:r>
    </w:p>
    <w:p>
      <w:pPr>
        <w:spacing w:line="320" w:lineRule="exact"/>
        <w:ind w:firstLine="420" w:firstLineChars="200"/>
        <w:rPr>
          <w:rFonts w:hint="eastAsia" w:ascii="微软雅黑" w:hAnsi="微软雅黑" w:eastAsia="微软雅黑"/>
          <w:szCs w:val="21"/>
          <w:highlight w:val="none"/>
        </w:rPr>
      </w:pPr>
      <w:r>
        <w:rPr>
          <w:rFonts w:hint="eastAsia" w:ascii="微软雅黑" w:hAnsi="微软雅黑" w:eastAsia="微软雅黑"/>
          <w:szCs w:val="21"/>
          <w:highlight w:val="none"/>
        </w:rPr>
        <w:t>固定收益类资产：现金、银行存款、同业存款、大额存单、同业存单、资金拆借、债券回购、货币基金等货币市场工具；国债、央票、企业债、金融债、政策性金融债、次级债、资产支持证券、地方政府债、中期票据、短期融资券、超短期融资券、公司债、私募债、永续债、可转换债券、可交换债、非公开定向债务债务融资工具（PPN）、二级资本债、债券型基金等标准化债权资产；信托贷款（含可续期信托贷款）、应收账款、收益权转让、承兑汇票、信用证、收益凭证、可续期贷款/永续债权投资资产、股权收益权转让及受让等非标准化债权资产；以及监管部门认可的其他金融投资工具。</w:t>
      </w:r>
    </w:p>
    <w:p>
      <w:pPr>
        <w:spacing w:line="320" w:lineRule="exact"/>
        <w:ind w:firstLine="420" w:firstLineChars="200"/>
        <w:rPr>
          <w:rFonts w:hint="eastAsia" w:ascii="微软雅黑" w:hAnsi="微软雅黑" w:eastAsia="微软雅黑"/>
          <w:szCs w:val="21"/>
          <w:highlight w:val="none"/>
        </w:rPr>
      </w:pPr>
      <w:r>
        <w:rPr>
          <w:rFonts w:hint="eastAsia" w:ascii="微软雅黑" w:hAnsi="微软雅黑" w:eastAsia="微软雅黑"/>
          <w:szCs w:val="21"/>
          <w:highlight w:val="none"/>
        </w:rPr>
        <w:t>其他资产：包含权益类资产、商品及金融衍生品类资产等。权益类资产：股票型证券投资基金、股票二级市场结构化优先级、股票定向增发优先级、投资于权益类资产的资产管理产品，以及符合监管要求的其他权益类资产。商品及金融衍生品类资产：股指期货、国债期货、商品期货、利率互换、收益互换、交易所上市期权等。</w:t>
      </w:r>
    </w:p>
    <w:p>
      <w:pPr>
        <w:spacing w:line="320" w:lineRule="exact"/>
        <w:ind w:firstLine="420" w:firstLineChars="200"/>
        <w:rPr>
          <w:rFonts w:hint="eastAsia" w:ascii="微软雅黑" w:hAnsi="微软雅黑" w:eastAsia="微软雅黑"/>
          <w:szCs w:val="21"/>
          <w:highlight w:val="none"/>
        </w:rPr>
      </w:pPr>
      <w:r>
        <w:rPr>
          <w:rFonts w:hint="eastAsia" w:ascii="微软雅黑" w:hAnsi="微软雅黑" w:eastAsia="微软雅黑"/>
          <w:szCs w:val="21"/>
          <w:highlight w:val="none"/>
        </w:rPr>
        <w:t>如</w:t>
      </w:r>
      <w:r>
        <w:rPr>
          <w:rFonts w:hint="eastAsia" w:ascii="微软雅黑" w:hAnsi="微软雅黑" w:eastAsia="微软雅黑"/>
          <w:szCs w:val="21"/>
          <w:highlight w:val="none"/>
          <w:lang w:val="en-US" w:eastAsia="zh-CN"/>
        </w:rPr>
        <w:t>日后</w:t>
      </w:r>
      <w:r>
        <w:rPr>
          <w:rFonts w:hint="eastAsia" w:ascii="微软雅黑" w:hAnsi="微软雅黑" w:eastAsia="微软雅黑"/>
          <w:szCs w:val="21"/>
          <w:highlight w:val="none"/>
        </w:rPr>
        <w:t>法律法规或监管机构允许投资其他金融资产和金融工具品种，管理人在履行</w:t>
      </w:r>
      <w:r>
        <w:rPr>
          <w:rFonts w:hint="eastAsia" w:ascii="微软雅黑" w:hAnsi="微软雅黑" w:eastAsia="微软雅黑"/>
          <w:szCs w:val="21"/>
          <w:highlight w:val="none"/>
          <w:lang w:val="en-US" w:eastAsia="zh-CN"/>
        </w:rPr>
        <w:t>本产品说明书之</w:t>
      </w:r>
      <w:r>
        <w:rPr>
          <w:rFonts w:hint="eastAsia" w:ascii="微软雅黑" w:hAnsi="微软雅黑" w:eastAsia="微软雅黑"/>
          <w:szCs w:val="21"/>
          <w:highlight w:val="none"/>
          <w:lang w:eastAsia="zh-CN"/>
        </w:rPr>
        <w:t>“</w:t>
      </w:r>
      <w:r>
        <w:rPr>
          <w:rFonts w:hint="eastAsia" w:ascii="微软雅黑" w:hAnsi="微软雅黑" w:eastAsia="微软雅黑"/>
          <w:szCs w:val="21"/>
          <w:highlight w:val="none"/>
          <w:lang w:val="en-US" w:eastAsia="zh-CN"/>
        </w:rPr>
        <w:t>信息披露”约定的方式进行信息披露</w:t>
      </w:r>
      <w:r>
        <w:rPr>
          <w:rFonts w:hint="eastAsia" w:ascii="微软雅黑" w:hAnsi="微软雅黑" w:eastAsia="微软雅黑"/>
          <w:szCs w:val="21"/>
          <w:highlight w:val="none"/>
        </w:rPr>
        <w:t>后，可以将其纳入投资范围。</w:t>
      </w:r>
    </w:p>
    <w:p>
      <w:pPr>
        <w:adjustRightInd w:val="0"/>
        <w:snapToGrid w:val="0"/>
        <w:spacing w:line="320" w:lineRule="exact"/>
        <w:ind w:left="454"/>
        <w:rPr>
          <w:rFonts w:ascii="微软雅黑" w:hAnsi="微软雅黑" w:eastAsia="微软雅黑"/>
          <w:szCs w:val="21"/>
          <w:highlight w:val="none"/>
        </w:rPr>
      </w:pPr>
      <w:r>
        <w:rPr>
          <w:rFonts w:hint="eastAsia" w:ascii="微软雅黑" w:hAnsi="微软雅黑" w:eastAsia="微软雅黑"/>
          <w:szCs w:val="21"/>
          <w:highlight w:val="none"/>
        </w:rPr>
        <w:t>各投资资产种类占总投资资产的计划投资比例如下：</w:t>
      </w:r>
    </w:p>
    <w:tbl>
      <w:tblPr>
        <w:tblStyle w:val="5"/>
        <w:tblW w:w="0" w:type="auto"/>
        <w:tblInd w:w="5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727"/>
        <w:gridCol w:w="26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727" w:type="dxa"/>
            <w:noWrap w:val="0"/>
            <w:vAlign w:val="top"/>
          </w:tcPr>
          <w:p>
            <w:pPr>
              <w:adjustRightInd w:val="0"/>
              <w:snapToGrid w:val="0"/>
              <w:spacing w:line="320" w:lineRule="exact"/>
              <w:ind w:left="454"/>
              <w:rPr>
                <w:rFonts w:ascii="微软雅黑" w:hAnsi="微软雅黑" w:eastAsia="微软雅黑"/>
                <w:szCs w:val="21"/>
                <w:highlight w:val="none"/>
              </w:rPr>
            </w:pPr>
            <w:r>
              <w:rPr>
                <w:rFonts w:hint="eastAsia" w:ascii="微软雅黑" w:hAnsi="微软雅黑" w:eastAsia="微软雅黑"/>
                <w:szCs w:val="21"/>
                <w:highlight w:val="none"/>
              </w:rPr>
              <w:t>资产种类</w:t>
            </w:r>
          </w:p>
        </w:tc>
        <w:tc>
          <w:tcPr>
            <w:tcW w:w="2651" w:type="dxa"/>
            <w:noWrap w:val="0"/>
            <w:vAlign w:val="top"/>
          </w:tcPr>
          <w:p>
            <w:pPr>
              <w:adjustRightInd w:val="0"/>
              <w:snapToGrid w:val="0"/>
              <w:spacing w:line="320" w:lineRule="exact"/>
              <w:ind w:left="454"/>
              <w:rPr>
                <w:rFonts w:ascii="微软雅黑" w:hAnsi="微软雅黑" w:eastAsia="微软雅黑"/>
                <w:szCs w:val="21"/>
                <w:highlight w:val="none"/>
              </w:rPr>
            </w:pPr>
            <w:r>
              <w:rPr>
                <w:rFonts w:hint="eastAsia" w:ascii="微软雅黑" w:hAnsi="微软雅黑" w:eastAsia="微软雅黑"/>
                <w:szCs w:val="21"/>
                <w:highlight w:val="none"/>
              </w:rPr>
              <w:t>投资比例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727"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固定收益类资产</w:t>
            </w:r>
          </w:p>
        </w:tc>
        <w:tc>
          <w:tcPr>
            <w:tcW w:w="2651"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80%-100%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727"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其他资产</w:t>
            </w:r>
          </w:p>
        </w:tc>
        <w:tc>
          <w:tcPr>
            <w:tcW w:w="2651"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0-20%</w:t>
            </w:r>
          </w:p>
        </w:tc>
      </w:tr>
    </w:tbl>
    <w:p>
      <w:pPr>
        <w:adjustRightInd w:val="0"/>
        <w:snapToGrid w:val="0"/>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在理财产品存续期内可能因市场的重大变化导致投资比例不在上述区间，珠海华润银行将尽合理努力，以客户利益最大化为原则，在15个工作日内调整投资比例至上述区间。</w:t>
      </w:r>
    </w:p>
    <w:p>
      <w:pPr>
        <w:adjustRightInd w:val="0"/>
        <w:snapToGrid w:val="0"/>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珠海华润银行有权根据市场情况，在不损害客户利益且根据约定提前公告的情况下，对本理财产品的投资范围、投资资产种类和投资比例进行调整。</w:t>
      </w:r>
    </w:p>
    <w:p>
      <w:pPr>
        <w:numPr>
          <w:ilvl w:val="0"/>
          <w:numId w:val="2"/>
        </w:numPr>
        <w:adjustRightInd w:val="0"/>
        <w:snapToGrid w:val="0"/>
        <w:spacing w:line="320" w:lineRule="exact"/>
        <w:ind w:left="454"/>
        <w:rPr>
          <w:rFonts w:hint="eastAsia" w:ascii="微软雅黑" w:hAnsi="微软雅黑" w:eastAsia="微软雅黑" w:cs="Arial"/>
          <w:b/>
          <w:szCs w:val="21"/>
          <w:highlight w:val="none"/>
          <w:lang w:eastAsia="zh-CN"/>
        </w:rPr>
      </w:pPr>
      <w:r>
        <w:rPr>
          <w:rFonts w:hint="eastAsia" w:ascii="微软雅黑" w:hAnsi="微软雅黑" w:eastAsia="微软雅黑" w:cs="Arial"/>
          <w:b/>
          <w:szCs w:val="21"/>
          <w:highlight w:val="none"/>
          <w:lang w:eastAsia="zh-CN"/>
        </w:rPr>
        <w:t>投资策略</w:t>
      </w:r>
    </w:p>
    <w:p>
      <w:pPr>
        <w:numPr>
          <w:ilvl w:val="-1"/>
          <w:numId w:val="0"/>
        </w:numPr>
        <w:adjustRightInd w:val="0"/>
        <w:snapToGrid w:val="0"/>
        <w:spacing w:line="320" w:lineRule="exact"/>
        <w:ind w:left="0" w:firstLine="420" w:firstLineChars="200"/>
        <w:rPr>
          <w:rFonts w:hint="eastAsia" w:ascii="微软雅黑" w:hAnsi="微软雅黑" w:eastAsia="微软雅黑" w:cs="Arial"/>
          <w:b w:val="0"/>
          <w:bCs/>
          <w:szCs w:val="21"/>
          <w:highlight w:val="none"/>
          <w:lang w:eastAsia="zh-CN"/>
        </w:rPr>
      </w:pPr>
      <w:r>
        <w:rPr>
          <w:rFonts w:hint="eastAsia" w:ascii="微软雅黑" w:hAnsi="微软雅黑" w:eastAsia="微软雅黑" w:cs="Arial"/>
          <w:b w:val="0"/>
          <w:bCs/>
          <w:szCs w:val="21"/>
          <w:highlight w:val="none"/>
          <w:lang w:eastAsia="zh-CN"/>
        </w:rPr>
        <w:t>本产品以固定收益类资产配置为主，通过分析研判宏观经济走势，以及货币政策、财政政策的变化，结合利息周期变化、市场利率变化趋势等因素，采用配置策略、利率预期策略和组合久期策略、交易策略、息差策略、信用策略等，实现资产组合的稳健增值。</w:t>
      </w:r>
    </w:p>
    <w:p>
      <w:pPr>
        <w:numPr>
          <w:ilvl w:val="-1"/>
          <w:numId w:val="0"/>
        </w:numPr>
        <w:adjustRightInd w:val="0"/>
        <w:snapToGrid w:val="0"/>
        <w:spacing w:line="320" w:lineRule="exact"/>
        <w:ind w:left="0" w:firstLine="420" w:firstLineChars="200"/>
        <w:rPr>
          <w:rFonts w:hint="eastAsia" w:ascii="微软雅黑" w:hAnsi="微软雅黑" w:eastAsia="微软雅黑" w:cs="Arial"/>
          <w:b w:val="0"/>
          <w:bCs/>
          <w:szCs w:val="21"/>
          <w:highlight w:val="none"/>
          <w:lang w:eastAsia="zh-CN"/>
        </w:rPr>
      </w:pPr>
    </w:p>
    <w:p>
      <w:pPr>
        <w:adjustRightInd w:val="0"/>
        <w:snapToGrid w:val="0"/>
        <w:spacing w:line="320" w:lineRule="exact"/>
        <w:ind w:left="456"/>
        <w:rPr>
          <w:rFonts w:ascii="微软雅黑" w:hAnsi="微软雅黑" w:eastAsia="微软雅黑" w:cs="Arial"/>
          <w:b/>
          <w:szCs w:val="21"/>
          <w:highlight w:val="none"/>
        </w:rPr>
      </w:pPr>
      <w:r>
        <w:rPr>
          <w:rFonts w:hint="eastAsia" w:ascii="微软雅黑" w:hAnsi="微软雅黑" w:eastAsia="微软雅黑" w:cs="Arial"/>
          <w:b/>
          <w:szCs w:val="21"/>
          <w:highlight w:val="none"/>
        </w:rPr>
        <w:t>三、理财产品净值及份额的计算</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理财产品资产净值=理财产品总资产-总负债。</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理财产品份额净值=理财产品资产净值/理财产品存续份额，理财产品份额净值保留至小数点后8位（保留8位小数，8位小数点后四舍五入）。</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认购份额</w:t>
      </w:r>
      <w:r>
        <w:rPr>
          <w:rFonts w:ascii="微软雅黑" w:hAnsi="微软雅黑" w:eastAsia="微软雅黑"/>
          <w:szCs w:val="21"/>
          <w:highlight w:val="none"/>
        </w:rPr>
        <w:t>=</w:t>
      </w:r>
      <w:r>
        <w:rPr>
          <w:rFonts w:hint="eastAsia" w:ascii="微软雅黑" w:hAnsi="微软雅黑" w:eastAsia="微软雅黑"/>
          <w:szCs w:val="21"/>
          <w:highlight w:val="none"/>
        </w:rPr>
        <w:t>认购金额</w:t>
      </w:r>
      <w:r>
        <w:rPr>
          <w:rFonts w:ascii="微软雅黑" w:hAnsi="微软雅黑" w:eastAsia="微软雅黑"/>
          <w:szCs w:val="21"/>
          <w:highlight w:val="none"/>
        </w:rPr>
        <w:t>/1</w:t>
      </w:r>
      <w:r>
        <w:rPr>
          <w:rFonts w:hint="eastAsia" w:ascii="微软雅黑" w:hAnsi="微软雅黑" w:eastAsia="微软雅黑"/>
          <w:szCs w:val="21"/>
          <w:highlight w:val="none"/>
        </w:rPr>
        <w:t>元，认购份额保留至小数点后2位</w:t>
      </w:r>
      <w:r>
        <w:rPr>
          <w:rFonts w:ascii="微软雅黑" w:hAnsi="微软雅黑" w:eastAsia="微软雅黑"/>
          <w:szCs w:val="21"/>
          <w:highlight w:val="none"/>
        </w:rPr>
        <w:t>（保留</w:t>
      </w:r>
      <w:r>
        <w:rPr>
          <w:rFonts w:hint="eastAsia" w:ascii="微软雅黑" w:hAnsi="微软雅黑" w:eastAsia="微软雅黑"/>
          <w:szCs w:val="21"/>
          <w:highlight w:val="none"/>
        </w:rPr>
        <w:t>2</w:t>
      </w:r>
      <w:r>
        <w:rPr>
          <w:rFonts w:ascii="微软雅黑" w:hAnsi="微软雅黑" w:eastAsia="微软雅黑"/>
          <w:szCs w:val="21"/>
          <w:highlight w:val="none"/>
        </w:rPr>
        <w:t>位小数，</w:t>
      </w:r>
      <w:r>
        <w:rPr>
          <w:rFonts w:hint="eastAsia" w:ascii="微软雅黑" w:hAnsi="微软雅黑" w:eastAsia="微软雅黑"/>
          <w:szCs w:val="21"/>
          <w:highlight w:val="none"/>
        </w:rPr>
        <w:t>2</w:t>
      </w:r>
      <w:r>
        <w:rPr>
          <w:rFonts w:ascii="微软雅黑" w:hAnsi="微软雅黑" w:eastAsia="微软雅黑"/>
          <w:szCs w:val="21"/>
          <w:highlight w:val="none"/>
        </w:rPr>
        <w:t>位小数点后</w:t>
      </w:r>
      <w:r>
        <w:rPr>
          <w:rFonts w:hint="eastAsia" w:ascii="微软雅黑" w:hAnsi="微软雅黑" w:eastAsia="微软雅黑"/>
          <w:szCs w:val="21"/>
          <w:highlight w:val="none"/>
        </w:rPr>
        <w:t>四舍五入</w:t>
      </w:r>
      <w:r>
        <w:rPr>
          <w:rFonts w:ascii="微软雅黑" w:hAnsi="微软雅黑" w:eastAsia="微软雅黑"/>
          <w:szCs w:val="21"/>
          <w:highlight w:val="none"/>
        </w:rPr>
        <w:t>）。</w:t>
      </w:r>
    </w:p>
    <w:p>
      <w:pPr>
        <w:adjustRightInd w:val="0"/>
        <w:snapToGrid w:val="0"/>
        <w:spacing w:line="320" w:lineRule="exact"/>
        <w:ind w:left="454"/>
        <w:rPr>
          <w:rFonts w:ascii="微软雅黑" w:hAnsi="微软雅黑" w:eastAsia="微软雅黑"/>
          <w:szCs w:val="21"/>
          <w:highlight w:val="none"/>
        </w:rPr>
      </w:pPr>
    </w:p>
    <w:p>
      <w:pPr>
        <w:adjustRightInd w:val="0"/>
        <w:snapToGrid w:val="0"/>
        <w:spacing w:line="320" w:lineRule="exact"/>
        <w:ind w:left="456"/>
        <w:rPr>
          <w:rFonts w:ascii="微软雅黑" w:hAnsi="微软雅黑" w:eastAsia="微软雅黑" w:cs="Arial"/>
          <w:b/>
          <w:szCs w:val="21"/>
          <w:highlight w:val="none"/>
        </w:rPr>
      </w:pPr>
      <w:r>
        <w:rPr>
          <w:rFonts w:hint="eastAsia" w:ascii="微软雅黑" w:hAnsi="微软雅黑" w:eastAsia="微软雅黑" w:cs="Arial"/>
          <w:b/>
          <w:szCs w:val="21"/>
          <w:highlight w:val="none"/>
        </w:rPr>
        <w:t>四、理财产品认购及成立</w:t>
      </w:r>
    </w:p>
    <w:p>
      <w:pPr>
        <w:adjustRightInd w:val="0"/>
        <w:snapToGrid w:val="0"/>
        <w:spacing w:line="320" w:lineRule="exact"/>
        <w:ind w:left="456"/>
        <w:rPr>
          <w:rFonts w:ascii="微软雅黑" w:hAnsi="微软雅黑" w:eastAsia="微软雅黑" w:cs="Arial"/>
          <w:b/>
          <w:szCs w:val="21"/>
          <w:highlight w:val="none"/>
        </w:rPr>
      </w:pPr>
      <w:r>
        <w:rPr>
          <w:rFonts w:hint="eastAsia" w:ascii="微软雅黑" w:hAnsi="微软雅黑" w:eastAsia="微软雅黑" w:cs="Arial"/>
          <w:b/>
          <w:szCs w:val="21"/>
          <w:highlight w:val="none"/>
        </w:rPr>
        <w:t>（一）产品认购</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1.产品</w:t>
      </w:r>
      <w:r>
        <w:rPr>
          <w:rFonts w:ascii="微软雅黑" w:hAnsi="微软雅黑" w:eastAsia="微软雅黑"/>
          <w:szCs w:val="21"/>
          <w:highlight w:val="none"/>
        </w:rPr>
        <w:t>登记日：本理财</w:t>
      </w:r>
      <w:r>
        <w:rPr>
          <w:rFonts w:hint="eastAsia" w:ascii="微软雅黑" w:hAnsi="微软雅黑" w:eastAsia="微软雅黑"/>
          <w:szCs w:val="21"/>
          <w:highlight w:val="none"/>
        </w:rPr>
        <w:t>产品</w:t>
      </w:r>
      <w:r>
        <w:rPr>
          <w:rFonts w:ascii="微软雅黑" w:hAnsi="微软雅黑" w:eastAsia="微软雅黑"/>
          <w:szCs w:val="21"/>
          <w:highlight w:val="none"/>
        </w:rPr>
        <w:t>于</w:t>
      </w:r>
      <w:r>
        <w:rPr>
          <w:rFonts w:hint="eastAsia" w:ascii="微软雅黑" w:hAnsi="微软雅黑" w:eastAsia="微软雅黑"/>
          <w:szCs w:val="21"/>
          <w:highlight w:val="none"/>
          <w:lang w:val="en-US" w:eastAsia="zh-CN"/>
        </w:rPr>
        <w:t>2026</w:t>
      </w:r>
      <w:r>
        <w:rPr>
          <w:rFonts w:hint="eastAsia" w:ascii="微软雅黑" w:hAnsi="微软雅黑" w:eastAsia="微软雅黑"/>
          <w:szCs w:val="21"/>
          <w:highlight w:val="none"/>
        </w:rPr>
        <w:t>年</w:t>
      </w:r>
      <w:r>
        <w:rPr>
          <w:rFonts w:hint="eastAsia" w:ascii="微软雅黑" w:hAnsi="微软雅黑" w:eastAsia="微软雅黑"/>
          <w:szCs w:val="21"/>
          <w:highlight w:val="none"/>
          <w:lang w:val="en-US" w:eastAsia="zh-CN"/>
        </w:rPr>
        <w:t>1</w:t>
      </w:r>
      <w:r>
        <w:rPr>
          <w:rFonts w:hint="eastAsia" w:ascii="微软雅黑" w:hAnsi="微软雅黑" w:eastAsia="微软雅黑"/>
          <w:szCs w:val="21"/>
          <w:highlight w:val="none"/>
        </w:rPr>
        <w:t>月</w:t>
      </w:r>
      <w:r>
        <w:rPr>
          <w:rFonts w:hint="eastAsia" w:ascii="微软雅黑" w:hAnsi="微软雅黑" w:eastAsia="微软雅黑"/>
          <w:szCs w:val="21"/>
          <w:highlight w:val="none"/>
          <w:lang w:val="en-US" w:eastAsia="zh-CN"/>
        </w:rPr>
        <w:t>7日</w:t>
      </w:r>
      <w:r>
        <w:rPr>
          <w:rFonts w:ascii="微软雅黑" w:hAnsi="微软雅黑" w:eastAsia="微软雅黑"/>
          <w:szCs w:val="21"/>
          <w:highlight w:val="none"/>
        </w:rPr>
        <w:t>进行认购登记。</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2</w:t>
      </w:r>
      <w:r>
        <w:rPr>
          <w:rFonts w:ascii="微软雅黑" w:hAnsi="微软雅黑" w:eastAsia="微软雅黑"/>
          <w:szCs w:val="21"/>
          <w:highlight w:val="none"/>
        </w:rPr>
        <w:t>.认购方式及确认：</w:t>
      </w:r>
    </w:p>
    <w:p>
      <w:pPr>
        <w:spacing w:line="320" w:lineRule="exact"/>
        <w:ind w:firstLine="420" w:firstLineChars="200"/>
        <w:rPr>
          <w:rFonts w:ascii="微软雅黑" w:hAnsi="微软雅黑" w:eastAsia="微软雅黑"/>
          <w:szCs w:val="21"/>
          <w:highlight w:val="none"/>
        </w:rPr>
      </w:pPr>
      <w:r>
        <w:rPr>
          <w:rFonts w:ascii="微软雅黑" w:hAnsi="微软雅黑" w:eastAsia="微软雅黑"/>
          <w:szCs w:val="21"/>
          <w:highlight w:val="none"/>
        </w:rPr>
        <w:t>（1）本理财</w:t>
      </w:r>
      <w:r>
        <w:rPr>
          <w:rFonts w:hint="eastAsia" w:ascii="微软雅黑" w:hAnsi="微软雅黑" w:eastAsia="微软雅黑"/>
          <w:szCs w:val="21"/>
          <w:highlight w:val="none"/>
        </w:rPr>
        <w:t>产品</w:t>
      </w:r>
      <w:r>
        <w:rPr>
          <w:rFonts w:ascii="微软雅黑" w:hAnsi="微软雅黑" w:eastAsia="微软雅黑"/>
          <w:szCs w:val="21"/>
          <w:highlight w:val="none"/>
        </w:rPr>
        <w:t>采取金额认购的方式；</w:t>
      </w:r>
    </w:p>
    <w:p>
      <w:pPr>
        <w:spacing w:line="320" w:lineRule="exact"/>
        <w:ind w:firstLine="420" w:firstLineChars="200"/>
        <w:rPr>
          <w:rFonts w:ascii="微软雅黑" w:hAnsi="微软雅黑" w:eastAsia="微软雅黑"/>
          <w:szCs w:val="21"/>
          <w:highlight w:val="none"/>
        </w:rPr>
      </w:pPr>
      <w:r>
        <w:rPr>
          <w:rFonts w:ascii="微软雅黑" w:hAnsi="微软雅黑" w:eastAsia="微软雅黑"/>
          <w:szCs w:val="21"/>
          <w:highlight w:val="none"/>
        </w:rPr>
        <w:t>（2）珠海华润银行受理认购申请并不表示对该申请成功的确认，而仅代表珠海华润银行收到了认购申请，申请是否有效以珠海华润银行的确认为准。珠海华润银行在</w:t>
      </w:r>
      <w:r>
        <w:rPr>
          <w:rFonts w:hint="eastAsia" w:ascii="微软雅黑" w:hAnsi="微软雅黑" w:eastAsia="微软雅黑"/>
          <w:szCs w:val="21"/>
          <w:highlight w:val="none"/>
        </w:rPr>
        <w:t>产品</w:t>
      </w:r>
      <w:r>
        <w:rPr>
          <w:rFonts w:ascii="微软雅黑" w:hAnsi="微软雅黑" w:eastAsia="微软雅黑"/>
          <w:szCs w:val="21"/>
          <w:highlight w:val="none"/>
        </w:rPr>
        <w:t>登记日为</w:t>
      </w:r>
      <w:r>
        <w:rPr>
          <w:rFonts w:hint="eastAsia" w:ascii="微软雅黑" w:hAnsi="微软雅黑" w:eastAsia="微软雅黑"/>
          <w:szCs w:val="21"/>
          <w:highlight w:val="none"/>
        </w:rPr>
        <w:t>客户</w:t>
      </w:r>
      <w:r>
        <w:rPr>
          <w:rFonts w:ascii="微软雅黑" w:hAnsi="微软雅黑" w:eastAsia="微软雅黑"/>
          <w:szCs w:val="21"/>
          <w:highlight w:val="none"/>
        </w:rPr>
        <w:t>登记认购份额，</w:t>
      </w:r>
      <w:r>
        <w:rPr>
          <w:rFonts w:hint="eastAsia" w:ascii="微软雅黑" w:hAnsi="微软雅黑" w:eastAsia="微软雅黑"/>
          <w:szCs w:val="21"/>
          <w:highlight w:val="none"/>
        </w:rPr>
        <w:t>客户</w:t>
      </w:r>
      <w:r>
        <w:rPr>
          <w:rFonts w:ascii="微软雅黑" w:hAnsi="微软雅黑" w:eastAsia="微软雅黑"/>
          <w:szCs w:val="21"/>
          <w:highlight w:val="none"/>
        </w:rPr>
        <w:t>应在</w:t>
      </w:r>
      <w:r>
        <w:rPr>
          <w:rFonts w:hint="eastAsia" w:ascii="微软雅黑" w:hAnsi="微软雅黑" w:eastAsia="微软雅黑"/>
          <w:szCs w:val="21"/>
          <w:highlight w:val="none"/>
        </w:rPr>
        <w:t>产品</w:t>
      </w:r>
      <w:r>
        <w:rPr>
          <w:rFonts w:ascii="微软雅黑" w:hAnsi="微软雅黑" w:eastAsia="微软雅黑"/>
          <w:szCs w:val="21"/>
          <w:highlight w:val="none"/>
        </w:rPr>
        <w:t>成立后及时查询最终成交确认情况和认购的份额；</w:t>
      </w:r>
    </w:p>
    <w:p>
      <w:pPr>
        <w:spacing w:line="320" w:lineRule="exact"/>
        <w:ind w:firstLine="420" w:firstLineChars="200"/>
        <w:rPr>
          <w:rFonts w:ascii="微软雅黑" w:hAnsi="微软雅黑" w:eastAsia="微软雅黑"/>
          <w:szCs w:val="21"/>
          <w:highlight w:val="none"/>
        </w:rPr>
      </w:pPr>
      <w:r>
        <w:rPr>
          <w:rFonts w:ascii="微软雅黑" w:hAnsi="微软雅黑" w:eastAsia="微软雅黑"/>
          <w:szCs w:val="21"/>
          <w:highlight w:val="none"/>
        </w:rPr>
        <w:t>（3）认购撤单：</w:t>
      </w:r>
      <w:r>
        <w:rPr>
          <w:rFonts w:hint="eastAsia" w:ascii="微软雅黑" w:hAnsi="微软雅黑" w:eastAsia="微软雅黑"/>
          <w:szCs w:val="21"/>
          <w:highlight w:val="none"/>
        </w:rPr>
        <w:t>认购</w:t>
      </w:r>
      <w:r>
        <w:rPr>
          <w:rFonts w:ascii="微软雅黑" w:hAnsi="微软雅黑" w:eastAsia="微软雅黑"/>
          <w:szCs w:val="21"/>
          <w:highlight w:val="none"/>
        </w:rPr>
        <w:t>期内允许全部或者部分撤销已递交的认购申请，部分撤销只适用于</w:t>
      </w:r>
      <w:r>
        <w:rPr>
          <w:rFonts w:hint="eastAsia" w:ascii="微软雅黑" w:hAnsi="微软雅黑" w:eastAsia="微软雅黑"/>
          <w:szCs w:val="21"/>
          <w:highlight w:val="none"/>
        </w:rPr>
        <w:t>客户</w:t>
      </w:r>
      <w:r>
        <w:rPr>
          <w:rFonts w:ascii="微软雅黑" w:hAnsi="微软雅黑" w:eastAsia="微软雅黑"/>
          <w:szCs w:val="21"/>
          <w:highlight w:val="none"/>
        </w:rPr>
        <w:t>多次认购的情况，</w:t>
      </w:r>
      <w:r>
        <w:rPr>
          <w:rFonts w:hint="eastAsia" w:ascii="微软雅黑" w:hAnsi="微软雅黑" w:eastAsia="微软雅黑"/>
          <w:szCs w:val="21"/>
          <w:highlight w:val="none"/>
        </w:rPr>
        <w:t>客户</w:t>
      </w:r>
      <w:r>
        <w:rPr>
          <w:rFonts w:ascii="微软雅黑" w:hAnsi="微软雅黑" w:eastAsia="微软雅黑"/>
          <w:szCs w:val="21"/>
          <w:highlight w:val="none"/>
        </w:rPr>
        <w:t>必须对应每笔认购的份额逐笔撤销</w:t>
      </w:r>
      <w:r>
        <w:rPr>
          <w:rFonts w:hint="eastAsia" w:ascii="微软雅黑" w:hAnsi="微软雅黑" w:eastAsia="微软雅黑"/>
          <w:szCs w:val="21"/>
          <w:highlight w:val="none"/>
        </w:rPr>
        <w:t>，</w:t>
      </w:r>
      <w:r>
        <w:rPr>
          <w:rFonts w:ascii="微软雅黑" w:hAnsi="微软雅黑" w:eastAsia="微软雅黑"/>
          <w:szCs w:val="21"/>
          <w:highlight w:val="none"/>
        </w:rPr>
        <w:t>部分撤销后剩余的各笔认购份额总和不得低于</w:t>
      </w:r>
      <w:r>
        <w:rPr>
          <w:rFonts w:hint="eastAsia" w:ascii="微软雅黑" w:hAnsi="微软雅黑" w:eastAsia="微软雅黑"/>
          <w:szCs w:val="21"/>
          <w:highlight w:val="none"/>
          <w:lang w:val="en-US" w:eastAsia="zh-CN"/>
        </w:rPr>
        <w:t>1</w:t>
      </w:r>
      <w:r>
        <w:rPr>
          <w:rFonts w:ascii="微软雅黑" w:hAnsi="微软雅黑" w:eastAsia="微软雅黑"/>
          <w:szCs w:val="21"/>
          <w:highlight w:val="none"/>
        </w:rPr>
        <w:t>万份；</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（4）客户</w:t>
      </w:r>
      <w:r>
        <w:rPr>
          <w:rFonts w:ascii="微软雅黑" w:hAnsi="微软雅黑" w:eastAsia="微软雅黑"/>
          <w:szCs w:val="21"/>
          <w:highlight w:val="none"/>
        </w:rPr>
        <w:t>在</w:t>
      </w:r>
      <w:r>
        <w:rPr>
          <w:rFonts w:hint="eastAsia" w:ascii="微软雅黑" w:hAnsi="微软雅黑" w:eastAsia="微软雅黑"/>
          <w:szCs w:val="21"/>
          <w:highlight w:val="none"/>
        </w:rPr>
        <w:t>认购</w:t>
      </w:r>
      <w:r>
        <w:rPr>
          <w:rFonts w:ascii="微软雅黑" w:hAnsi="微软雅黑" w:eastAsia="微软雅黑"/>
          <w:szCs w:val="21"/>
          <w:highlight w:val="none"/>
        </w:rPr>
        <w:t>期内</w:t>
      </w:r>
      <w:r>
        <w:rPr>
          <w:rFonts w:hint="eastAsia" w:ascii="微软雅黑" w:hAnsi="微软雅黑" w:eastAsia="微软雅黑"/>
          <w:szCs w:val="21"/>
          <w:highlight w:val="none"/>
        </w:rPr>
        <w:t>认购成功后资金将被冻结，但仍按</w:t>
      </w:r>
      <w:r>
        <w:rPr>
          <w:rFonts w:ascii="微软雅黑" w:hAnsi="微软雅黑" w:eastAsia="微软雅黑"/>
          <w:szCs w:val="21"/>
          <w:highlight w:val="none"/>
        </w:rPr>
        <w:t>照珠海华润银行公布的活期存款利率为认购</w:t>
      </w:r>
      <w:r>
        <w:rPr>
          <w:rFonts w:hint="eastAsia" w:ascii="微软雅黑" w:hAnsi="微软雅黑" w:eastAsia="微软雅黑"/>
          <w:szCs w:val="21"/>
          <w:highlight w:val="none"/>
        </w:rPr>
        <w:t>资金</w:t>
      </w:r>
      <w:r>
        <w:rPr>
          <w:rFonts w:ascii="微软雅黑" w:hAnsi="微软雅黑" w:eastAsia="微软雅黑"/>
          <w:szCs w:val="21"/>
          <w:highlight w:val="none"/>
        </w:rPr>
        <w:t>计息</w:t>
      </w:r>
      <w:r>
        <w:rPr>
          <w:rFonts w:hint="eastAsia" w:ascii="微软雅黑" w:hAnsi="微软雅黑" w:eastAsia="微软雅黑"/>
          <w:szCs w:val="21"/>
          <w:highlight w:val="none"/>
        </w:rPr>
        <w:t>，认购期内利息不计入认购本金。</w:t>
      </w:r>
      <w:r>
        <w:rPr>
          <w:rFonts w:ascii="微软雅黑" w:hAnsi="微软雅黑" w:eastAsia="微软雅黑"/>
          <w:szCs w:val="21"/>
          <w:highlight w:val="none"/>
        </w:rPr>
        <w:t>如</w:t>
      </w:r>
      <w:r>
        <w:rPr>
          <w:rFonts w:hint="eastAsia" w:ascii="微软雅黑" w:hAnsi="微软雅黑" w:eastAsia="微软雅黑"/>
          <w:szCs w:val="21"/>
          <w:highlight w:val="none"/>
        </w:rPr>
        <w:t>认</w:t>
      </w:r>
      <w:r>
        <w:rPr>
          <w:rFonts w:ascii="微软雅黑" w:hAnsi="微软雅黑" w:eastAsia="微软雅黑"/>
          <w:szCs w:val="21"/>
          <w:highlight w:val="none"/>
        </w:rPr>
        <w:t>购</w:t>
      </w:r>
      <w:r>
        <w:rPr>
          <w:rFonts w:hint="eastAsia" w:ascii="微软雅黑" w:hAnsi="微软雅黑" w:eastAsia="微软雅黑"/>
          <w:szCs w:val="21"/>
          <w:highlight w:val="none"/>
        </w:rPr>
        <w:t>不</w:t>
      </w:r>
      <w:r>
        <w:rPr>
          <w:rFonts w:ascii="微软雅黑" w:hAnsi="微软雅黑" w:eastAsia="微软雅黑"/>
          <w:szCs w:val="21"/>
          <w:highlight w:val="none"/>
        </w:rPr>
        <w:t>成功，被冻结的理财资金在产品原定</w:t>
      </w:r>
      <w:r>
        <w:rPr>
          <w:rFonts w:hint="eastAsia" w:ascii="微软雅黑" w:hAnsi="微软雅黑" w:eastAsia="微软雅黑"/>
          <w:szCs w:val="21"/>
          <w:highlight w:val="none"/>
        </w:rPr>
        <w:t>认购期结束</w:t>
      </w:r>
      <w:r>
        <w:rPr>
          <w:rFonts w:ascii="微软雅黑" w:hAnsi="微软雅黑" w:eastAsia="微软雅黑"/>
          <w:szCs w:val="21"/>
          <w:highlight w:val="none"/>
        </w:rPr>
        <w:t>后的</w:t>
      </w:r>
      <w:r>
        <w:rPr>
          <w:rFonts w:hint="eastAsia" w:ascii="微软雅黑" w:hAnsi="微软雅黑" w:eastAsia="微软雅黑"/>
          <w:szCs w:val="21"/>
          <w:highlight w:val="none"/>
        </w:rPr>
        <w:t>3</w:t>
      </w:r>
      <w:r>
        <w:rPr>
          <w:rFonts w:ascii="微软雅黑" w:hAnsi="微软雅黑" w:eastAsia="微软雅黑"/>
          <w:szCs w:val="21"/>
          <w:highlight w:val="none"/>
        </w:rPr>
        <w:t>个工作日内解冻；如</w:t>
      </w:r>
      <w:r>
        <w:rPr>
          <w:rFonts w:hint="eastAsia" w:ascii="微软雅黑" w:hAnsi="微软雅黑" w:eastAsia="微软雅黑"/>
          <w:szCs w:val="21"/>
          <w:highlight w:val="none"/>
        </w:rPr>
        <w:t>认</w:t>
      </w:r>
      <w:r>
        <w:rPr>
          <w:rFonts w:ascii="微软雅黑" w:hAnsi="微软雅黑" w:eastAsia="微软雅黑"/>
          <w:szCs w:val="21"/>
          <w:highlight w:val="none"/>
        </w:rPr>
        <w:t>购</w:t>
      </w:r>
      <w:r>
        <w:rPr>
          <w:rFonts w:hint="eastAsia" w:ascii="微软雅黑" w:hAnsi="微软雅黑" w:eastAsia="微软雅黑"/>
          <w:szCs w:val="21"/>
          <w:highlight w:val="none"/>
        </w:rPr>
        <w:t>成功</w:t>
      </w:r>
      <w:r>
        <w:rPr>
          <w:rFonts w:ascii="微软雅黑" w:hAnsi="微软雅黑" w:eastAsia="微软雅黑"/>
          <w:szCs w:val="21"/>
          <w:highlight w:val="none"/>
        </w:rPr>
        <w:t>，被冻结的理财资金划转至产品募集账户。</w:t>
      </w:r>
    </w:p>
    <w:p>
      <w:pPr>
        <w:adjustRightInd w:val="0"/>
        <w:snapToGrid w:val="0"/>
        <w:spacing w:before="93" w:beforeLines="30" w:after="93" w:afterLines="30" w:line="320" w:lineRule="exact"/>
        <w:ind w:left="454"/>
        <w:rPr>
          <w:rFonts w:ascii="微软雅黑" w:hAnsi="微软雅黑" w:eastAsia="微软雅黑" w:cs="Arial"/>
          <w:b/>
          <w:szCs w:val="21"/>
          <w:highlight w:val="none"/>
        </w:rPr>
      </w:pPr>
      <w:r>
        <w:rPr>
          <w:rFonts w:hint="eastAsia" w:ascii="微软雅黑" w:hAnsi="微软雅黑" w:eastAsia="微软雅黑" w:cs="Arial"/>
          <w:b/>
          <w:szCs w:val="21"/>
          <w:highlight w:val="none"/>
        </w:rPr>
        <w:t>（二）产品成立</w:t>
      </w:r>
    </w:p>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 xml:space="preserve">    在认购期内，未发生影响产品正常成立的任何异常事件，产品正常成立。</w:t>
      </w:r>
    </w:p>
    <w:p>
      <w:pPr>
        <w:spacing w:line="320" w:lineRule="exact"/>
        <w:ind w:firstLine="420"/>
        <w:rPr>
          <w:rFonts w:ascii="微软雅黑" w:hAnsi="微软雅黑" w:eastAsia="微软雅黑"/>
          <w:szCs w:val="21"/>
          <w:highlight w:val="none"/>
        </w:rPr>
      </w:pPr>
      <w:r>
        <w:rPr>
          <w:rFonts w:hint="eastAsia" w:ascii="微软雅黑" w:hAnsi="微软雅黑" w:eastAsia="微软雅黑"/>
          <w:szCs w:val="21"/>
          <w:highlight w:val="none"/>
        </w:rPr>
        <w:t>珠海华润银行有权提前结束认购并提前成立，产品提前成立时珠海华润银行将发布公告并调整相关日期，产品最终发行量以实际募集金额为准。</w:t>
      </w:r>
    </w:p>
    <w:p>
      <w:pPr>
        <w:spacing w:line="320" w:lineRule="exact"/>
        <w:ind w:firstLine="420" w:firstLineChars="200"/>
        <w:rPr>
          <w:rFonts w:ascii="微软雅黑" w:hAnsi="微软雅黑" w:eastAsia="微软雅黑" w:cs="Arial"/>
          <w:b/>
          <w:szCs w:val="21"/>
          <w:highlight w:val="none"/>
        </w:rPr>
      </w:pPr>
      <w:r>
        <w:rPr>
          <w:rFonts w:hint="eastAsia" w:ascii="微软雅黑" w:hAnsi="微软雅黑" w:eastAsia="微软雅黑"/>
          <w:szCs w:val="21"/>
          <w:highlight w:val="none"/>
        </w:rPr>
        <w:t>如果市场发生不利情况，珠海华润银行有权宣布本产品不成立。客户被冻结的认购资金在</w:t>
      </w:r>
      <w:r>
        <w:rPr>
          <w:rFonts w:hint="eastAsia" w:ascii="微软雅黑" w:hAnsi="微软雅黑" w:eastAsia="微软雅黑"/>
          <w:highlight w:val="none"/>
        </w:rPr>
        <w:t>产品原定成立日</w:t>
      </w:r>
      <w:r>
        <w:rPr>
          <w:rFonts w:hint="eastAsia" w:ascii="微软雅黑" w:hAnsi="微软雅黑" w:eastAsia="微软雅黑"/>
          <w:szCs w:val="21"/>
          <w:highlight w:val="none"/>
        </w:rPr>
        <w:t>后的3个工作日内解冻。</w:t>
      </w:r>
    </w:p>
    <w:p>
      <w:pPr>
        <w:adjustRightInd w:val="0"/>
        <w:snapToGrid w:val="0"/>
        <w:spacing w:line="320" w:lineRule="exact"/>
        <w:ind w:left="454"/>
        <w:rPr>
          <w:rFonts w:ascii="微软雅黑" w:hAnsi="微软雅黑" w:eastAsia="微软雅黑" w:cs="Arial"/>
          <w:b/>
          <w:szCs w:val="21"/>
          <w:highlight w:val="none"/>
        </w:rPr>
      </w:pPr>
    </w:p>
    <w:p>
      <w:pPr>
        <w:adjustRightInd w:val="0"/>
        <w:snapToGrid w:val="0"/>
        <w:spacing w:before="93" w:beforeLines="30" w:after="93" w:afterLines="30" w:line="320" w:lineRule="exact"/>
        <w:ind w:left="454"/>
        <w:rPr>
          <w:rFonts w:ascii="微软雅黑" w:hAnsi="微软雅黑" w:eastAsia="微软雅黑" w:cs="Arial"/>
          <w:b/>
          <w:szCs w:val="21"/>
          <w:highlight w:val="none"/>
        </w:rPr>
      </w:pPr>
      <w:r>
        <w:rPr>
          <w:rFonts w:hint="eastAsia" w:ascii="微软雅黑" w:hAnsi="微软雅黑" w:eastAsia="微软雅黑" w:cs="Arial"/>
          <w:b/>
          <w:szCs w:val="21"/>
          <w:highlight w:val="none"/>
        </w:rPr>
        <w:t>五、理财产品</w:t>
      </w:r>
      <w:r>
        <w:rPr>
          <w:rFonts w:ascii="微软雅黑" w:hAnsi="微软雅黑" w:eastAsia="微软雅黑" w:cs="Arial"/>
          <w:b/>
          <w:szCs w:val="21"/>
          <w:highlight w:val="none"/>
        </w:rPr>
        <w:t>到期</w:t>
      </w:r>
      <w:r>
        <w:rPr>
          <w:rFonts w:hint="eastAsia" w:ascii="微软雅黑" w:hAnsi="微软雅黑" w:eastAsia="微软雅黑" w:cs="Arial"/>
          <w:b/>
          <w:szCs w:val="21"/>
          <w:highlight w:val="none"/>
        </w:rPr>
        <w:t>及提前终止</w:t>
      </w:r>
    </w:p>
    <w:p>
      <w:pPr>
        <w:adjustRightInd w:val="0"/>
        <w:snapToGrid w:val="0"/>
        <w:spacing w:before="93" w:beforeLines="30" w:after="93" w:afterLines="30" w:line="320" w:lineRule="exact"/>
        <w:ind w:left="454"/>
        <w:rPr>
          <w:rFonts w:ascii="微软雅黑" w:hAnsi="微软雅黑" w:eastAsia="微软雅黑" w:cs="Arial"/>
          <w:b/>
          <w:szCs w:val="21"/>
          <w:highlight w:val="none"/>
        </w:rPr>
      </w:pPr>
      <w:r>
        <w:rPr>
          <w:rFonts w:hint="eastAsia" w:ascii="微软雅黑" w:hAnsi="微软雅黑" w:eastAsia="微软雅黑" w:cs="Arial"/>
          <w:b/>
          <w:szCs w:val="21"/>
          <w:highlight w:val="none"/>
        </w:rPr>
        <w:t>（一）产品到期</w:t>
      </w:r>
    </w:p>
    <w:p>
      <w:pPr>
        <w:spacing w:line="320" w:lineRule="exact"/>
        <w:ind w:firstLine="420" w:firstLineChars="200"/>
        <w:rPr>
          <w:rFonts w:ascii="微软雅黑" w:hAnsi="微软雅黑" w:eastAsia="微软雅黑"/>
          <w:szCs w:val="21"/>
          <w:highlight w:val="none"/>
        </w:rPr>
      </w:pPr>
      <w:r>
        <w:rPr>
          <w:rFonts w:ascii="微软雅黑" w:hAnsi="微软雅黑" w:eastAsia="微软雅黑"/>
          <w:szCs w:val="21"/>
          <w:highlight w:val="none"/>
        </w:rPr>
        <w:t>1.本理财</w:t>
      </w:r>
      <w:r>
        <w:rPr>
          <w:rFonts w:hint="eastAsia" w:ascii="微软雅黑" w:hAnsi="微软雅黑" w:eastAsia="微软雅黑"/>
          <w:szCs w:val="21"/>
          <w:highlight w:val="none"/>
        </w:rPr>
        <w:t>产品</w:t>
      </w:r>
      <w:r>
        <w:rPr>
          <w:rFonts w:ascii="微软雅黑" w:hAnsi="微软雅黑" w:eastAsia="微软雅黑"/>
          <w:szCs w:val="21"/>
          <w:highlight w:val="none"/>
        </w:rPr>
        <w:t>到期日为</w:t>
      </w:r>
      <w:r>
        <w:rPr>
          <w:rFonts w:hint="eastAsia" w:ascii="微软雅黑" w:hAnsi="微软雅黑" w:eastAsia="微软雅黑"/>
          <w:szCs w:val="21"/>
          <w:highlight w:val="none"/>
          <w:lang w:val="en-US" w:eastAsia="zh-CN"/>
        </w:rPr>
        <w:t>2026</w:t>
      </w:r>
      <w:r>
        <w:rPr>
          <w:rFonts w:hint="eastAsia" w:ascii="微软雅黑" w:hAnsi="微软雅黑" w:eastAsia="微软雅黑"/>
          <w:szCs w:val="21"/>
          <w:highlight w:val="none"/>
        </w:rPr>
        <w:t>年</w:t>
      </w:r>
      <w:r>
        <w:rPr>
          <w:rFonts w:hint="eastAsia" w:ascii="微软雅黑" w:hAnsi="微软雅黑" w:eastAsia="微软雅黑"/>
          <w:szCs w:val="21"/>
          <w:highlight w:val="none"/>
          <w:lang w:val="en-US" w:eastAsia="zh-CN"/>
        </w:rPr>
        <w:t>7</w:t>
      </w:r>
      <w:r>
        <w:rPr>
          <w:rFonts w:hint="eastAsia" w:ascii="微软雅黑" w:hAnsi="微软雅黑" w:eastAsia="微软雅黑"/>
          <w:szCs w:val="21"/>
          <w:highlight w:val="none"/>
        </w:rPr>
        <w:t>月</w:t>
      </w:r>
      <w:r>
        <w:rPr>
          <w:rFonts w:hint="eastAsia" w:ascii="微软雅黑" w:hAnsi="微软雅黑" w:eastAsia="微软雅黑"/>
          <w:szCs w:val="21"/>
          <w:highlight w:val="none"/>
          <w:lang w:val="en-US" w:eastAsia="zh-CN"/>
        </w:rPr>
        <w:t>22</w:t>
      </w:r>
      <w:bookmarkStart w:id="2" w:name="_GoBack"/>
      <w:bookmarkEnd w:id="2"/>
      <w:r>
        <w:rPr>
          <w:rFonts w:hint="eastAsia" w:ascii="微软雅黑" w:hAnsi="微软雅黑" w:eastAsia="微软雅黑"/>
          <w:szCs w:val="21"/>
          <w:highlight w:val="none"/>
        </w:rPr>
        <w:t>日（以实际到期日为准）</w:t>
      </w:r>
      <w:r>
        <w:rPr>
          <w:rFonts w:ascii="微软雅黑" w:hAnsi="微软雅黑" w:eastAsia="微软雅黑"/>
          <w:szCs w:val="21"/>
          <w:highlight w:val="none"/>
        </w:rPr>
        <w:t>，逢节假日顺延。</w:t>
      </w:r>
    </w:p>
    <w:p>
      <w:pPr>
        <w:spacing w:line="320" w:lineRule="exact"/>
        <w:ind w:firstLine="420" w:firstLineChars="200"/>
        <w:rPr>
          <w:rFonts w:ascii="微软雅黑" w:hAnsi="微软雅黑" w:eastAsia="微软雅黑"/>
          <w:szCs w:val="21"/>
          <w:highlight w:val="none"/>
        </w:rPr>
      </w:pPr>
      <w:r>
        <w:rPr>
          <w:rFonts w:ascii="微软雅黑" w:hAnsi="微软雅黑" w:eastAsia="微软雅黑"/>
          <w:szCs w:val="21"/>
          <w:highlight w:val="none"/>
        </w:rPr>
        <w:t>2.</w:t>
      </w:r>
      <w:r>
        <w:rPr>
          <w:rFonts w:hint="eastAsia" w:ascii="微软雅黑" w:hAnsi="微软雅黑" w:eastAsia="微软雅黑"/>
          <w:szCs w:val="21"/>
          <w:highlight w:val="none"/>
        </w:rPr>
        <w:t>客户</w:t>
      </w:r>
      <w:r>
        <w:rPr>
          <w:rFonts w:ascii="微软雅黑" w:hAnsi="微软雅黑" w:eastAsia="微软雅黑"/>
          <w:szCs w:val="21"/>
          <w:highlight w:val="none"/>
        </w:rPr>
        <w:t>持有本理财</w:t>
      </w:r>
      <w:r>
        <w:rPr>
          <w:rFonts w:hint="eastAsia" w:ascii="微软雅黑" w:hAnsi="微软雅黑" w:eastAsia="微软雅黑"/>
          <w:szCs w:val="21"/>
          <w:highlight w:val="none"/>
        </w:rPr>
        <w:t>产品</w:t>
      </w:r>
      <w:r>
        <w:rPr>
          <w:rFonts w:ascii="微软雅黑" w:hAnsi="微软雅黑" w:eastAsia="微软雅黑"/>
          <w:szCs w:val="21"/>
          <w:highlight w:val="none"/>
        </w:rPr>
        <w:t>到期时，珠海华润银行不承诺保证本金，</w:t>
      </w:r>
      <w:r>
        <w:rPr>
          <w:rFonts w:hint="eastAsia" w:ascii="微软雅黑" w:hAnsi="微软雅黑" w:eastAsia="微软雅黑"/>
          <w:szCs w:val="21"/>
          <w:highlight w:val="none"/>
        </w:rPr>
        <w:t>客户</w:t>
      </w:r>
      <w:r>
        <w:rPr>
          <w:rFonts w:ascii="微软雅黑" w:hAnsi="微软雅黑" w:eastAsia="微软雅黑"/>
          <w:szCs w:val="21"/>
          <w:highlight w:val="none"/>
        </w:rPr>
        <w:t>在到期日的应得资金随投资盈亏水平浮动。</w:t>
      </w:r>
    </w:p>
    <w:p>
      <w:pPr>
        <w:spacing w:line="320" w:lineRule="exact"/>
        <w:ind w:firstLine="420" w:firstLineChars="200"/>
        <w:rPr>
          <w:rFonts w:ascii="微软雅黑" w:hAnsi="微软雅黑" w:eastAsia="微软雅黑"/>
          <w:szCs w:val="21"/>
          <w:highlight w:val="none"/>
        </w:rPr>
      </w:pPr>
      <w:r>
        <w:rPr>
          <w:rFonts w:ascii="微软雅黑" w:hAnsi="微软雅黑" w:eastAsia="微软雅黑"/>
          <w:szCs w:val="21"/>
          <w:highlight w:val="none"/>
        </w:rPr>
        <w:t>3.理财</w:t>
      </w:r>
      <w:r>
        <w:rPr>
          <w:rFonts w:hint="eastAsia" w:ascii="微软雅黑" w:hAnsi="微软雅黑" w:eastAsia="微软雅黑"/>
          <w:szCs w:val="21"/>
          <w:highlight w:val="none"/>
        </w:rPr>
        <w:t>产品</w:t>
      </w:r>
      <w:r>
        <w:rPr>
          <w:rFonts w:ascii="微软雅黑" w:hAnsi="微软雅黑" w:eastAsia="微软雅黑"/>
          <w:szCs w:val="21"/>
          <w:highlight w:val="none"/>
        </w:rPr>
        <w:t>到期时，如理财</w:t>
      </w:r>
      <w:r>
        <w:rPr>
          <w:rFonts w:hint="eastAsia" w:ascii="微软雅黑" w:hAnsi="微软雅黑" w:eastAsia="微软雅黑"/>
          <w:szCs w:val="21"/>
          <w:highlight w:val="none"/>
        </w:rPr>
        <w:t>产品</w:t>
      </w:r>
      <w:r>
        <w:rPr>
          <w:rFonts w:ascii="微软雅黑" w:hAnsi="微软雅黑" w:eastAsia="微软雅黑"/>
          <w:szCs w:val="21"/>
          <w:highlight w:val="none"/>
        </w:rPr>
        <w:t>项下财产全部变现，珠海华润银行在</w:t>
      </w:r>
      <w:r>
        <w:rPr>
          <w:rFonts w:hint="eastAsia" w:ascii="微软雅黑" w:hAnsi="微软雅黑" w:eastAsia="微软雅黑"/>
          <w:szCs w:val="21"/>
          <w:highlight w:val="none"/>
        </w:rPr>
        <w:t>产品</w:t>
      </w:r>
      <w:r>
        <w:rPr>
          <w:rFonts w:ascii="微软雅黑" w:hAnsi="微软雅黑" w:eastAsia="微软雅黑"/>
          <w:szCs w:val="21"/>
          <w:highlight w:val="none"/>
        </w:rPr>
        <w:t>到期日后</w:t>
      </w:r>
      <w:r>
        <w:rPr>
          <w:rFonts w:hint="eastAsia" w:ascii="微软雅黑" w:hAnsi="微软雅黑" w:eastAsia="微软雅黑"/>
          <w:szCs w:val="21"/>
          <w:highlight w:val="none"/>
        </w:rPr>
        <w:t>3</w:t>
      </w:r>
      <w:r>
        <w:rPr>
          <w:rFonts w:ascii="微软雅黑" w:hAnsi="微软雅黑" w:eastAsia="微软雅黑"/>
          <w:szCs w:val="21"/>
          <w:highlight w:val="none"/>
        </w:rPr>
        <w:t>个工作日内将</w:t>
      </w:r>
      <w:r>
        <w:rPr>
          <w:rFonts w:hint="eastAsia" w:ascii="微软雅黑" w:hAnsi="微软雅黑" w:eastAsia="微软雅黑"/>
          <w:szCs w:val="21"/>
          <w:highlight w:val="none"/>
        </w:rPr>
        <w:t>客户</w:t>
      </w:r>
      <w:r>
        <w:rPr>
          <w:rFonts w:ascii="微软雅黑" w:hAnsi="微软雅黑" w:eastAsia="微软雅黑"/>
          <w:szCs w:val="21"/>
          <w:highlight w:val="none"/>
        </w:rPr>
        <w:t>应得资金划转至</w:t>
      </w:r>
      <w:r>
        <w:rPr>
          <w:rFonts w:hint="eastAsia" w:ascii="微软雅黑" w:hAnsi="微软雅黑" w:eastAsia="微软雅黑"/>
          <w:szCs w:val="21"/>
          <w:highlight w:val="none"/>
        </w:rPr>
        <w:t>客户</w:t>
      </w:r>
      <w:r>
        <w:rPr>
          <w:rFonts w:ascii="微软雅黑" w:hAnsi="微软雅黑" w:eastAsia="微软雅黑"/>
          <w:szCs w:val="21"/>
          <w:highlight w:val="none"/>
        </w:rPr>
        <w:t>指定账户。</w:t>
      </w:r>
      <w:r>
        <w:rPr>
          <w:rFonts w:hint="eastAsia" w:ascii="微软雅黑" w:hAnsi="微软雅黑" w:eastAsia="微软雅黑"/>
          <w:szCs w:val="21"/>
          <w:highlight w:val="none"/>
          <w:lang w:eastAsia="zh-CN"/>
        </w:rPr>
        <w:t>清算期超过</w:t>
      </w:r>
      <w:r>
        <w:rPr>
          <w:rFonts w:hint="eastAsia" w:ascii="微软雅黑" w:hAnsi="微软雅黑" w:eastAsia="微软雅黑"/>
          <w:szCs w:val="21"/>
          <w:highlight w:val="none"/>
          <w:lang w:val="en-US" w:eastAsia="zh-CN"/>
        </w:rPr>
        <w:t>3个工作日的，管理人将提前2个工作日根据约定方式进行信息披露。</w:t>
      </w:r>
      <w:r>
        <w:rPr>
          <w:rFonts w:ascii="微软雅黑" w:hAnsi="微软雅黑" w:eastAsia="微软雅黑"/>
          <w:szCs w:val="21"/>
          <w:highlight w:val="none"/>
        </w:rPr>
        <w:t>理财</w:t>
      </w:r>
      <w:r>
        <w:rPr>
          <w:rFonts w:hint="eastAsia" w:ascii="微软雅黑" w:hAnsi="微软雅黑" w:eastAsia="微软雅黑"/>
          <w:szCs w:val="21"/>
          <w:highlight w:val="none"/>
        </w:rPr>
        <w:t>产品</w:t>
      </w:r>
      <w:r>
        <w:rPr>
          <w:rFonts w:ascii="微软雅黑" w:hAnsi="微软雅黑" w:eastAsia="微软雅黑"/>
          <w:szCs w:val="21"/>
          <w:highlight w:val="none"/>
        </w:rPr>
        <w:t>到期</w:t>
      </w:r>
      <w:r>
        <w:rPr>
          <w:rFonts w:hint="eastAsia" w:ascii="微软雅黑" w:hAnsi="微软雅黑" w:eastAsia="微软雅黑"/>
          <w:szCs w:val="21"/>
          <w:highlight w:val="none"/>
        </w:rPr>
        <w:t>时</w:t>
      </w:r>
      <w:r>
        <w:rPr>
          <w:rFonts w:ascii="微软雅黑" w:hAnsi="微软雅黑" w:eastAsia="微软雅黑"/>
          <w:szCs w:val="21"/>
          <w:highlight w:val="none"/>
        </w:rPr>
        <w:t>，如</w:t>
      </w:r>
      <w:r>
        <w:rPr>
          <w:rFonts w:hint="eastAsia" w:ascii="微软雅黑" w:hAnsi="微软雅黑" w:eastAsia="微软雅黑"/>
          <w:szCs w:val="21"/>
          <w:highlight w:val="none"/>
        </w:rPr>
        <w:t>产品</w:t>
      </w:r>
      <w:r>
        <w:rPr>
          <w:rFonts w:ascii="微软雅黑" w:hAnsi="微软雅黑" w:eastAsia="微软雅黑"/>
          <w:szCs w:val="21"/>
          <w:highlight w:val="none"/>
        </w:rPr>
        <w:t>项下部分或全部资产因客观原因暂停交易或暂时无法变现，</w:t>
      </w:r>
      <w:r>
        <w:rPr>
          <w:rFonts w:hint="eastAsia" w:ascii="微软雅黑" w:hAnsi="微软雅黑" w:eastAsia="微软雅黑"/>
          <w:szCs w:val="21"/>
          <w:highlight w:val="none"/>
        </w:rPr>
        <w:t>珠海华润银行</w:t>
      </w:r>
      <w:r>
        <w:rPr>
          <w:rFonts w:ascii="微软雅黑" w:hAnsi="微软雅黑" w:eastAsia="微软雅黑"/>
          <w:szCs w:val="21"/>
          <w:highlight w:val="none"/>
        </w:rPr>
        <w:t>可将可供分配的现金资产按照理财</w:t>
      </w:r>
      <w:r>
        <w:rPr>
          <w:rFonts w:hint="eastAsia" w:ascii="微软雅黑" w:hAnsi="微软雅黑" w:eastAsia="微软雅黑"/>
          <w:szCs w:val="21"/>
          <w:highlight w:val="none"/>
        </w:rPr>
        <w:t>产品</w:t>
      </w:r>
      <w:r>
        <w:rPr>
          <w:rFonts w:ascii="微软雅黑" w:hAnsi="微软雅黑" w:eastAsia="微软雅黑"/>
          <w:szCs w:val="21"/>
          <w:highlight w:val="none"/>
        </w:rPr>
        <w:t>投资的认购金额比例进行分配，将暂时无法变现的其他投资组合资产恢复交易或通过其他途径变现后，管理人再就该部分资产进行分配。本理财</w:t>
      </w:r>
      <w:r>
        <w:rPr>
          <w:rFonts w:hint="default" w:ascii="微软雅黑" w:hAnsi="微软雅黑" w:eastAsia="微软雅黑"/>
          <w:szCs w:val="21"/>
          <w:highlight w:val="none"/>
        </w:rPr>
        <w:t>产品</w:t>
      </w:r>
      <w:r>
        <w:rPr>
          <w:rFonts w:ascii="微软雅黑" w:hAnsi="微软雅黑" w:eastAsia="微软雅黑"/>
          <w:szCs w:val="21"/>
          <w:highlight w:val="none"/>
        </w:rPr>
        <w:t>的到期日</w:t>
      </w:r>
      <w:r>
        <w:rPr>
          <w:rFonts w:hint="default" w:ascii="微软雅黑" w:hAnsi="微软雅黑" w:eastAsia="微软雅黑"/>
          <w:szCs w:val="21"/>
          <w:highlight w:val="none"/>
        </w:rPr>
        <w:t>及投资者持有的产品期限</w:t>
      </w:r>
      <w:r>
        <w:rPr>
          <w:rFonts w:ascii="微软雅黑" w:hAnsi="微软雅黑" w:eastAsia="微软雅黑"/>
          <w:szCs w:val="21"/>
          <w:highlight w:val="none"/>
        </w:rPr>
        <w:t>将相应延长</w:t>
      </w:r>
      <w:r>
        <w:rPr>
          <w:rFonts w:hint="default" w:ascii="微软雅黑" w:hAnsi="微软雅黑" w:eastAsia="微软雅黑"/>
          <w:szCs w:val="21"/>
          <w:highlight w:val="none"/>
        </w:rPr>
        <w:t>，</w:t>
      </w:r>
      <w:r>
        <w:rPr>
          <w:rFonts w:hint="eastAsia" w:ascii="微软雅黑" w:hAnsi="微软雅黑" w:eastAsia="微软雅黑"/>
          <w:szCs w:val="21"/>
          <w:highlight w:val="none"/>
        </w:rPr>
        <w:t>具体请以珠海华润银行公告为准。延长期内不计收益，延期清算期间不计付利息。</w:t>
      </w:r>
    </w:p>
    <w:p>
      <w:pPr>
        <w:adjustRightInd w:val="0"/>
        <w:snapToGrid w:val="0"/>
        <w:spacing w:before="93" w:beforeLines="30" w:after="93" w:afterLines="30" w:line="320" w:lineRule="exact"/>
        <w:ind w:left="454"/>
        <w:rPr>
          <w:rFonts w:ascii="微软雅黑" w:hAnsi="微软雅黑" w:eastAsia="微软雅黑" w:cs="Arial"/>
          <w:b/>
          <w:szCs w:val="21"/>
          <w:highlight w:val="none"/>
        </w:rPr>
      </w:pPr>
      <w:r>
        <w:rPr>
          <w:rFonts w:hint="eastAsia" w:ascii="微软雅黑" w:hAnsi="微软雅黑" w:eastAsia="微软雅黑" w:cs="Arial"/>
          <w:b/>
          <w:szCs w:val="21"/>
          <w:highlight w:val="none"/>
        </w:rPr>
        <w:t>（二）提前终止</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本理财产品成立后，如出现但不限于如下情形，珠海华润银行在提前公告的情况下，有权但无义务提前全部终止或提前部分终止本产品，并对提前终止的该部分理财产品份额所对应的本金和收益（如有）进行分配。在提前终止日后3个工作日内将被分配资金划转至客户指定账户。若客户持有的该理财产品份额被冻结，被冻结的份额将不参与部分提前终止。</w:t>
      </w:r>
    </w:p>
    <w:p>
      <w:pPr>
        <w:pStyle w:val="7"/>
        <w:spacing w:line="320" w:lineRule="exact"/>
        <w:ind w:left="420" w:firstLine="0" w:firstLineChars="0"/>
        <w:rPr>
          <w:rFonts w:ascii="微软雅黑" w:hAnsi="微软雅黑" w:eastAsia="微软雅黑"/>
          <w:szCs w:val="21"/>
          <w:highlight w:val="none"/>
        </w:rPr>
      </w:pPr>
      <w:r>
        <w:rPr>
          <w:rFonts w:hint="eastAsia" w:ascii="微软雅黑" w:hAnsi="微软雅黑" w:eastAsia="微软雅黑"/>
          <w:szCs w:val="21"/>
          <w:highlight w:val="none"/>
        </w:rPr>
        <w:t>1.因不可抗力因素导致本理财产品无法继续运作；</w:t>
      </w:r>
    </w:p>
    <w:p>
      <w:pPr>
        <w:spacing w:line="320" w:lineRule="exact"/>
        <w:ind w:firstLine="420" w:firstLineChars="200"/>
        <w:jc w:val="left"/>
        <w:rPr>
          <w:rFonts w:ascii="微软雅黑" w:hAnsi="微软雅黑" w:eastAsia="微软雅黑"/>
          <w:szCs w:val="21"/>
          <w:highlight w:val="none"/>
        </w:rPr>
      </w:pPr>
      <w:r>
        <w:rPr>
          <w:rFonts w:ascii="微软雅黑" w:hAnsi="微软雅黑" w:eastAsia="微软雅黑"/>
          <w:szCs w:val="21"/>
          <w:highlight w:val="none"/>
        </w:rPr>
        <w:t>2</w:t>
      </w:r>
      <w:r>
        <w:rPr>
          <w:rFonts w:hint="eastAsia" w:ascii="微软雅黑" w:hAnsi="微软雅黑" w:eastAsia="微软雅黑"/>
          <w:szCs w:val="21"/>
          <w:highlight w:val="none"/>
        </w:rPr>
        <w:t>遇有市场剧烈波动、异常风险事件等情形导致理财产品净值出现大幅波动或严重影响理财产品的资产安全；</w:t>
      </w:r>
    </w:p>
    <w:p>
      <w:pPr>
        <w:spacing w:line="320" w:lineRule="exact"/>
        <w:ind w:firstLine="420" w:firstLineChars="200"/>
        <w:jc w:val="left"/>
        <w:rPr>
          <w:rFonts w:ascii="微软雅黑" w:hAnsi="微软雅黑" w:eastAsia="微软雅黑"/>
          <w:szCs w:val="21"/>
          <w:highlight w:val="none"/>
        </w:rPr>
      </w:pPr>
      <w:r>
        <w:rPr>
          <w:rFonts w:ascii="微软雅黑" w:hAnsi="微软雅黑" w:eastAsia="微软雅黑"/>
          <w:szCs w:val="21"/>
          <w:highlight w:val="none"/>
        </w:rPr>
        <w:t>3.</w:t>
      </w:r>
      <w:r>
        <w:rPr>
          <w:rFonts w:hint="eastAsia" w:ascii="微软雅黑" w:hAnsi="微软雅黑" w:eastAsia="微软雅黑"/>
          <w:szCs w:val="21"/>
          <w:highlight w:val="none"/>
        </w:rPr>
        <w:t>因相关投资管理机构解散、破产、撤销、被取消业务资格等原因无法继续履行相应职责导致产品无法继续运作；</w:t>
      </w:r>
    </w:p>
    <w:p>
      <w:pPr>
        <w:spacing w:line="320" w:lineRule="exact"/>
        <w:ind w:firstLine="420" w:firstLineChars="200"/>
        <w:jc w:val="left"/>
        <w:rPr>
          <w:rFonts w:ascii="微软雅黑" w:hAnsi="微软雅黑" w:eastAsia="微软雅黑"/>
          <w:szCs w:val="21"/>
          <w:highlight w:val="none"/>
        </w:rPr>
      </w:pPr>
      <w:r>
        <w:rPr>
          <w:rFonts w:ascii="微软雅黑" w:hAnsi="微软雅黑" w:eastAsia="微软雅黑"/>
          <w:szCs w:val="21"/>
          <w:highlight w:val="none"/>
        </w:rPr>
        <w:t>4.</w:t>
      </w:r>
      <w:r>
        <w:rPr>
          <w:rFonts w:hint="eastAsia" w:ascii="微软雅黑" w:hAnsi="微软雅黑" w:eastAsia="微软雅黑"/>
          <w:szCs w:val="21"/>
          <w:highlight w:val="none"/>
        </w:rPr>
        <w:t>因法律法规变化或国家金融政策调整、紧急措施出台影响产品继续正常运作；</w:t>
      </w:r>
    </w:p>
    <w:p>
      <w:pPr>
        <w:spacing w:line="320" w:lineRule="exact"/>
        <w:ind w:firstLine="420" w:firstLineChars="200"/>
        <w:jc w:val="left"/>
        <w:rPr>
          <w:rFonts w:ascii="微软雅黑" w:hAnsi="微软雅黑" w:eastAsia="微软雅黑"/>
          <w:szCs w:val="21"/>
          <w:highlight w:val="none"/>
        </w:rPr>
      </w:pPr>
      <w:r>
        <w:rPr>
          <w:rFonts w:hint="eastAsia" w:ascii="微软雅黑" w:hAnsi="微软雅黑" w:eastAsia="微软雅黑"/>
          <w:szCs w:val="21"/>
          <w:highlight w:val="none"/>
        </w:rPr>
        <w:t>5.因理财产品投资的资产提前到期或部分提前到期，进而影响到产品收益，为最大限度保护投资者利益，珠海华润银行经合理判断提前全部终止或提前部分终止的情形；</w:t>
      </w:r>
    </w:p>
    <w:p>
      <w:pPr>
        <w:spacing w:line="320" w:lineRule="exact"/>
        <w:ind w:firstLine="420" w:firstLineChars="200"/>
        <w:rPr>
          <w:rFonts w:hint="eastAsia" w:ascii="微软雅黑" w:hAnsi="微软雅黑" w:eastAsia="微软雅黑"/>
          <w:szCs w:val="21"/>
          <w:highlight w:val="none"/>
        </w:rPr>
      </w:pPr>
      <w:r>
        <w:rPr>
          <w:rFonts w:hint="eastAsia" w:ascii="微软雅黑" w:hAnsi="微软雅黑" w:eastAsia="微软雅黑"/>
          <w:szCs w:val="21"/>
          <w:highlight w:val="none"/>
        </w:rPr>
        <w:t>6</w:t>
      </w:r>
      <w:r>
        <w:rPr>
          <w:rFonts w:ascii="微软雅黑" w:hAnsi="微软雅黑" w:eastAsia="微软雅黑"/>
          <w:szCs w:val="21"/>
          <w:highlight w:val="none"/>
        </w:rPr>
        <w:t>.</w:t>
      </w:r>
      <w:r>
        <w:rPr>
          <w:rFonts w:hint="eastAsia" w:ascii="微软雅黑" w:hAnsi="微软雅黑" w:eastAsia="微软雅黑"/>
          <w:szCs w:val="21"/>
          <w:highlight w:val="none"/>
        </w:rPr>
        <w:t>法律法规规定或监管部门认定的其他情形。</w:t>
      </w:r>
    </w:p>
    <w:p>
      <w:pPr>
        <w:adjustRightInd w:val="0"/>
        <w:snapToGrid w:val="0"/>
        <w:spacing w:line="320" w:lineRule="exact"/>
        <w:rPr>
          <w:rFonts w:ascii="微软雅黑" w:hAnsi="微软雅黑" w:eastAsia="微软雅黑" w:cs="Arial"/>
          <w:b/>
          <w:szCs w:val="21"/>
          <w:highlight w:val="none"/>
        </w:rPr>
      </w:pPr>
    </w:p>
    <w:p>
      <w:pPr>
        <w:adjustRightInd w:val="0"/>
        <w:snapToGrid w:val="0"/>
        <w:spacing w:before="93" w:beforeLines="30" w:after="93" w:afterLines="30" w:line="320" w:lineRule="exact"/>
        <w:ind w:left="454"/>
        <w:rPr>
          <w:rFonts w:ascii="微软雅黑" w:hAnsi="微软雅黑" w:eastAsia="微软雅黑" w:cs="Arial"/>
          <w:b/>
          <w:szCs w:val="21"/>
          <w:highlight w:val="none"/>
        </w:rPr>
      </w:pPr>
      <w:r>
        <w:rPr>
          <w:rFonts w:hint="eastAsia" w:ascii="微软雅黑" w:hAnsi="微软雅黑" w:eastAsia="微软雅黑" w:cs="Arial"/>
          <w:b/>
          <w:szCs w:val="21"/>
          <w:highlight w:val="none"/>
        </w:rPr>
        <w:t>六、理财产品收益测算</w:t>
      </w:r>
    </w:p>
    <w:p>
      <w:pPr>
        <w:adjustRightInd w:val="0"/>
        <w:snapToGrid w:val="0"/>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假设本理财产品期限</w:t>
      </w:r>
      <w:r>
        <w:rPr>
          <w:rFonts w:ascii="微软雅黑" w:hAnsi="微软雅黑" w:eastAsia="微软雅黑"/>
          <w:szCs w:val="21"/>
          <w:highlight w:val="none"/>
        </w:rPr>
        <w:t>36</w:t>
      </w:r>
      <w:r>
        <w:rPr>
          <w:rFonts w:hint="eastAsia" w:ascii="微软雅黑" w:hAnsi="微软雅黑" w:eastAsia="微软雅黑"/>
          <w:szCs w:val="21"/>
          <w:highlight w:val="none"/>
        </w:rPr>
        <w:t>0天，业绩比较基准</w:t>
      </w:r>
      <w:r>
        <w:rPr>
          <w:rFonts w:hint="eastAsia" w:ascii="微软雅黑" w:hAnsi="微软雅黑" w:eastAsia="微软雅黑"/>
          <w:szCs w:val="21"/>
          <w:highlight w:val="none"/>
          <w:lang w:eastAsia="zh-CN"/>
        </w:rPr>
        <w:t>【</w:t>
      </w:r>
      <w:r>
        <w:rPr>
          <w:rFonts w:hint="eastAsia" w:ascii="微软雅黑" w:hAnsi="微软雅黑" w:eastAsia="微软雅黑"/>
          <w:szCs w:val="21"/>
          <w:highlight w:val="none"/>
          <w:lang w:val="en-US" w:eastAsia="zh-CN"/>
        </w:rPr>
        <w:t>4.0%，4.5</w:t>
      </w:r>
      <w:r>
        <w:rPr>
          <w:rFonts w:ascii="微软雅黑" w:hAnsi="微软雅黑" w:eastAsia="微软雅黑"/>
          <w:szCs w:val="21"/>
          <w:highlight w:val="none"/>
        </w:rPr>
        <w:t>%</w:t>
      </w:r>
      <w:r>
        <w:rPr>
          <w:rFonts w:hint="eastAsia" w:ascii="微软雅黑" w:hAnsi="微软雅黑" w:eastAsia="微软雅黑"/>
          <w:szCs w:val="21"/>
          <w:highlight w:val="none"/>
          <w:lang w:eastAsia="zh-CN"/>
        </w:rPr>
        <w:t>】</w:t>
      </w:r>
      <w:r>
        <w:rPr>
          <w:rFonts w:hint="eastAsia" w:ascii="微软雅黑" w:hAnsi="微软雅黑" w:eastAsia="微软雅黑"/>
          <w:szCs w:val="21"/>
          <w:highlight w:val="none"/>
        </w:rPr>
        <w:t>。产品到期后，客户可获得总收益可能存在如下情景：</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情景一：扣除产品各项费用（包括不限于托管费、运营服务费、销售手续费</w:t>
      </w:r>
      <w:r>
        <w:rPr>
          <w:rFonts w:hint="eastAsia" w:ascii="微软雅黑" w:hAnsi="微软雅黑" w:eastAsia="微软雅黑"/>
          <w:szCs w:val="21"/>
          <w:highlight w:val="none"/>
          <w:lang w:eastAsia="zh-CN"/>
        </w:rPr>
        <w:t>、</w:t>
      </w:r>
      <w:r>
        <w:rPr>
          <w:rFonts w:hint="eastAsia" w:ascii="微软雅黑" w:hAnsi="微软雅黑" w:eastAsia="微软雅黑"/>
          <w:szCs w:val="21"/>
          <w:highlight w:val="none"/>
        </w:rPr>
        <w:t>固定投资管理费</w:t>
      </w:r>
      <w:r>
        <w:rPr>
          <w:rFonts w:hint="eastAsia" w:ascii="微软雅黑" w:hAnsi="微软雅黑" w:eastAsia="微软雅黑"/>
          <w:szCs w:val="21"/>
          <w:highlight w:val="none"/>
          <w:lang w:val="en-US" w:eastAsia="zh-CN"/>
        </w:rPr>
        <w:t>和其他费用</w:t>
      </w:r>
      <w:r>
        <w:rPr>
          <w:rFonts w:hint="eastAsia" w:ascii="微软雅黑" w:hAnsi="微软雅黑" w:eastAsia="微软雅黑"/>
          <w:szCs w:val="21"/>
          <w:highlight w:val="none"/>
        </w:rPr>
        <w:t>），投资</w:t>
      </w:r>
      <w:r>
        <w:rPr>
          <w:rFonts w:hint="eastAsia" w:ascii="微软雅黑" w:hAnsi="微软雅黑" w:eastAsia="微软雅黑"/>
          <w:szCs w:val="21"/>
          <w:highlight w:val="none"/>
          <w:lang w:eastAsia="zh-CN"/>
        </w:rPr>
        <w:t>表现</w:t>
      </w:r>
      <w:r>
        <w:rPr>
          <w:rFonts w:hint="eastAsia" w:ascii="微软雅黑" w:hAnsi="微软雅黑" w:eastAsia="微软雅黑"/>
          <w:szCs w:val="21"/>
          <w:highlight w:val="none"/>
        </w:rPr>
        <w:t>超过业绩比较基准。</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假设客户投资5万元，购买时产品净值为</w:t>
      </w:r>
      <w:r>
        <w:rPr>
          <w:rFonts w:ascii="微软雅黑" w:hAnsi="微软雅黑" w:eastAsia="微软雅黑"/>
          <w:szCs w:val="21"/>
          <w:highlight w:val="none"/>
        </w:rPr>
        <w:t>1.00</w:t>
      </w:r>
      <w:r>
        <w:rPr>
          <w:rFonts w:hint="eastAsia" w:ascii="微软雅黑" w:hAnsi="微软雅黑" w:eastAsia="微软雅黑"/>
          <w:szCs w:val="21"/>
          <w:highlight w:val="none"/>
        </w:rPr>
        <w:t>000000元，份额</w:t>
      </w:r>
      <w:r>
        <w:rPr>
          <w:rFonts w:hint="eastAsia" w:ascii="微软雅黑" w:hAnsi="微软雅黑" w:eastAsia="微软雅黑"/>
          <w:szCs w:val="21"/>
          <w:highlight w:val="none"/>
          <w:lang w:eastAsia="zh-CN"/>
        </w:rPr>
        <w:t>确认</w:t>
      </w:r>
      <w:r>
        <w:rPr>
          <w:rFonts w:hint="eastAsia" w:ascii="微软雅黑" w:hAnsi="微软雅黑" w:eastAsia="微软雅黑"/>
          <w:szCs w:val="21"/>
          <w:highlight w:val="none"/>
        </w:rPr>
        <w:t>5</w:t>
      </w:r>
      <w:r>
        <w:rPr>
          <w:rFonts w:ascii="微软雅黑" w:hAnsi="微软雅黑" w:eastAsia="微软雅黑"/>
          <w:szCs w:val="21"/>
          <w:highlight w:val="none"/>
        </w:rPr>
        <w:t>0,000.00</w:t>
      </w:r>
      <w:r>
        <w:rPr>
          <w:rFonts w:hint="eastAsia" w:ascii="微软雅黑" w:hAnsi="微软雅黑" w:eastAsia="微软雅黑"/>
          <w:szCs w:val="21"/>
          <w:highlight w:val="none"/>
        </w:rPr>
        <w:t>份。产品到期时，若客户持有的份额依然为5</w:t>
      </w:r>
      <w:r>
        <w:rPr>
          <w:rFonts w:ascii="微软雅黑" w:hAnsi="微软雅黑" w:eastAsia="微软雅黑"/>
          <w:szCs w:val="21"/>
          <w:highlight w:val="none"/>
        </w:rPr>
        <w:t>0,000.00</w:t>
      </w:r>
      <w:r>
        <w:rPr>
          <w:rFonts w:hint="eastAsia" w:ascii="微软雅黑" w:hAnsi="微软雅黑" w:eastAsia="微软雅黑"/>
          <w:szCs w:val="21"/>
          <w:highlight w:val="none"/>
        </w:rPr>
        <w:t>份（即存续期中未发生提前终止或其他情形），扣除产品各项费用（包括不限于托管费、运营服务费、销售手续费</w:t>
      </w:r>
      <w:r>
        <w:rPr>
          <w:rFonts w:hint="eastAsia" w:ascii="微软雅黑" w:hAnsi="微软雅黑" w:eastAsia="微软雅黑"/>
          <w:szCs w:val="21"/>
          <w:highlight w:val="none"/>
          <w:lang w:eastAsia="zh-CN"/>
        </w:rPr>
        <w:t>、</w:t>
      </w:r>
      <w:r>
        <w:rPr>
          <w:rFonts w:hint="eastAsia" w:ascii="微软雅黑" w:hAnsi="微软雅黑" w:eastAsia="微软雅黑"/>
          <w:szCs w:val="21"/>
          <w:highlight w:val="none"/>
        </w:rPr>
        <w:t>固定投资管理费</w:t>
      </w:r>
      <w:r>
        <w:rPr>
          <w:rFonts w:hint="eastAsia" w:ascii="微软雅黑" w:hAnsi="微软雅黑" w:eastAsia="微软雅黑"/>
          <w:szCs w:val="21"/>
          <w:highlight w:val="none"/>
          <w:lang w:val="en-US" w:eastAsia="zh-CN"/>
        </w:rPr>
        <w:t>和其他费用</w:t>
      </w:r>
      <w:r>
        <w:rPr>
          <w:rFonts w:hint="eastAsia" w:ascii="微软雅黑" w:hAnsi="微软雅黑" w:eastAsia="微软雅黑"/>
          <w:szCs w:val="21"/>
          <w:highlight w:val="none"/>
        </w:rPr>
        <w:t>）后，如产品净值为</w:t>
      </w:r>
      <w:r>
        <w:rPr>
          <w:rFonts w:ascii="微软雅黑" w:hAnsi="微软雅黑" w:eastAsia="微软雅黑"/>
          <w:szCs w:val="21"/>
          <w:highlight w:val="none"/>
        </w:rPr>
        <w:t>1.</w:t>
      </w:r>
      <w:r>
        <w:rPr>
          <w:rFonts w:hint="eastAsia" w:ascii="微软雅黑" w:hAnsi="微软雅黑" w:eastAsia="微软雅黑"/>
          <w:szCs w:val="21"/>
          <w:highlight w:val="none"/>
        </w:rPr>
        <w:t>0</w:t>
      </w:r>
      <w:r>
        <w:rPr>
          <w:rFonts w:hint="eastAsia" w:ascii="微软雅黑" w:hAnsi="微软雅黑" w:eastAsia="微软雅黑"/>
          <w:szCs w:val="21"/>
          <w:highlight w:val="none"/>
          <w:lang w:val="en-US" w:eastAsia="zh-CN"/>
        </w:rPr>
        <w:t>450</w:t>
      </w:r>
      <w:r>
        <w:rPr>
          <w:rFonts w:hint="eastAsia" w:ascii="微软雅黑" w:hAnsi="微软雅黑" w:eastAsia="微软雅黑"/>
          <w:szCs w:val="21"/>
          <w:highlight w:val="none"/>
        </w:rPr>
        <w:t>0000，</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此时，(1.0</w:t>
      </w:r>
      <w:r>
        <w:rPr>
          <w:rFonts w:hint="eastAsia" w:ascii="微软雅黑" w:hAnsi="微软雅黑" w:eastAsia="微软雅黑"/>
          <w:szCs w:val="21"/>
          <w:highlight w:val="none"/>
          <w:lang w:val="en-US" w:eastAsia="zh-CN"/>
        </w:rPr>
        <w:t>450</w:t>
      </w:r>
      <w:r>
        <w:rPr>
          <w:rFonts w:hint="eastAsia" w:ascii="微软雅黑" w:hAnsi="微软雅黑" w:eastAsia="微软雅黑"/>
          <w:szCs w:val="21"/>
          <w:highlight w:val="none"/>
        </w:rPr>
        <w:t>0000/1.00000000-1)×365/360=</w:t>
      </w:r>
      <w:r>
        <w:rPr>
          <w:rFonts w:hint="eastAsia" w:ascii="微软雅黑" w:hAnsi="微软雅黑" w:eastAsia="微软雅黑"/>
          <w:szCs w:val="21"/>
          <w:highlight w:val="none"/>
          <w:lang w:val="en-US" w:eastAsia="zh-CN"/>
        </w:rPr>
        <w:t>4.56</w:t>
      </w:r>
      <w:r>
        <w:rPr>
          <w:rFonts w:hint="eastAsia" w:ascii="微软雅黑" w:hAnsi="微软雅黑" w:eastAsia="微软雅黑"/>
          <w:szCs w:val="21"/>
          <w:highlight w:val="none"/>
        </w:rPr>
        <w:t>%&gt;</w:t>
      </w:r>
      <w:r>
        <w:rPr>
          <w:rFonts w:hint="eastAsia" w:ascii="微软雅黑" w:hAnsi="微软雅黑" w:eastAsia="微软雅黑"/>
          <w:szCs w:val="21"/>
          <w:highlight w:val="none"/>
          <w:lang w:val="en-US" w:eastAsia="zh-CN"/>
        </w:rPr>
        <w:t>4.5</w:t>
      </w:r>
      <w:r>
        <w:rPr>
          <w:rFonts w:hint="eastAsia" w:ascii="微软雅黑" w:hAnsi="微软雅黑" w:eastAsia="微软雅黑"/>
          <w:szCs w:val="21"/>
          <w:highlight w:val="none"/>
        </w:rPr>
        <w:t>%，即投资</w:t>
      </w:r>
      <w:r>
        <w:rPr>
          <w:rFonts w:hint="eastAsia" w:ascii="微软雅黑" w:hAnsi="微软雅黑" w:eastAsia="微软雅黑"/>
          <w:szCs w:val="21"/>
          <w:highlight w:val="none"/>
          <w:lang w:eastAsia="zh-CN"/>
        </w:rPr>
        <w:t>表现</w:t>
      </w:r>
      <w:r>
        <w:rPr>
          <w:rFonts w:hint="eastAsia" w:ascii="微软雅黑" w:hAnsi="微软雅黑" w:eastAsia="微软雅黑"/>
          <w:szCs w:val="21"/>
          <w:highlight w:val="none"/>
        </w:rPr>
        <w:t>超过业绩比较基准</w:t>
      </w:r>
      <w:r>
        <w:rPr>
          <w:rFonts w:hint="eastAsia" w:ascii="微软雅黑" w:hAnsi="微软雅黑" w:eastAsia="微软雅黑"/>
          <w:szCs w:val="21"/>
          <w:highlight w:val="none"/>
          <w:lang w:eastAsia="zh-CN"/>
        </w:rPr>
        <w:t>上限</w:t>
      </w:r>
      <w:r>
        <w:rPr>
          <w:rFonts w:hint="eastAsia" w:ascii="微软雅黑" w:hAnsi="微软雅黑" w:eastAsia="微软雅黑"/>
          <w:szCs w:val="21"/>
          <w:highlight w:val="none"/>
        </w:rPr>
        <w:t>。假设超过的部分作为管理人的浮动投资管理费，则浮动投资管理费为：</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50,000.00×[1.0</w:t>
      </w:r>
      <w:r>
        <w:rPr>
          <w:rFonts w:hint="eastAsia" w:ascii="微软雅黑" w:hAnsi="微软雅黑" w:eastAsia="微软雅黑"/>
          <w:szCs w:val="21"/>
          <w:highlight w:val="none"/>
          <w:lang w:val="en-US" w:eastAsia="zh-CN"/>
        </w:rPr>
        <w:t>450</w:t>
      </w:r>
      <w:r>
        <w:rPr>
          <w:rFonts w:hint="eastAsia" w:ascii="微软雅黑" w:hAnsi="微软雅黑" w:eastAsia="微软雅黑"/>
          <w:szCs w:val="21"/>
          <w:highlight w:val="none"/>
        </w:rPr>
        <w:t>0000-1.00000000×(1+</w:t>
      </w:r>
      <w:r>
        <w:rPr>
          <w:rFonts w:hint="eastAsia" w:ascii="微软雅黑" w:hAnsi="微软雅黑" w:eastAsia="微软雅黑"/>
          <w:szCs w:val="21"/>
          <w:highlight w:val="none"/>
          <w:lang w:val="en-US" w:eastAsia="zh-CN"/>
        </w:rPr>
        <w:t>4</w:t>
      </w:r>
      <w:r>
        <w:rPr>
          <w:rFonts w:hint="eastAsia" w:ascii="微软雅黑" w:hAnsi="微软雅黑" w:eastAsia="微软雅黑"/>
          <w:szCs w:val="21"/>
          <w:highlight w:val="none"/>
        </w:rPr>
        <w:t>.</w:t>
      </w:r>
      <w:r>
        <w:rPr>
          <w:rFonts w:hint="eastAsia" w:ascii="微软雅黑" w:hAnsi="微软雅黑" w:eastAsia="微软雅黑"/>
          <w:szCs w:val="21"/>
          <w:highlight w:val="none"/>
          <w:lang w:val="en-US" w:eastAsia="zh-CN"/>
        </w:rPr>
        <w:t>5</w:t>
      </w:r>
      <w:r>
        <w:rPr>
          <w:rFonts w:hint="eastAsia" w:ascii="微软雅黑" w:hAnsi="微软雅黑" w:eastAsia="微软雅黑"/>
          <w:szCs w:val="21"/>
          <w:highlight w:val="none"/>
        </w:rPr>
        <w:t>0%×360/365)]=</w:t>
      </w:r>
      <w:r>
        <w:rPr>
          <w:rFonts w:hint="eastAsia" w:ascii="微软雅黑" w:hAnsi="微软雅黑" w:eastAsia="微软雅黑"/>
          <w:szCs w:val="21"/>
          <w:highlight w:val="none"/>
          <w:lang w:val="en-US" w:eastAsia="zh-CN"/>
        </w:rPr>
        <w:t>30.82</w:t>
      </w:r>
      <w:r>
        <w:rPr>
          <w:rFonts w:hint="eastAsia" w:ascii="微软雅黑" w:hAnsi="微软雅黑" w:eastAsia="微软雅黑"/>
          <w:szCs w:val="21"/>
          <w:highlight w:val="none"/>
        </w:rPr>
        <w:t>（元）</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扣除浮动投资管理费后，</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客户</w:t>
      </w:r>
      <w:r>
        <w:rPr>
          <w:rFonts w:hint="eastAsia" w:ascii="微软雅黑" w:hAnsi="微软雅黑" w:eastAsia="微软雅黑"/>
          <w:szCs w:val="21"/>
          <w:highlight w:val="none"/>
          <w:lang w:eastAsia="zh-CN"/>
        </w:rPr>
        <w:t>应得赎回金额</w:t>
      </w:r>
      <w:r>
        <w:rPr>
          <w:rFonts w:hint="eastAsia" w:ascii="微软雅黑" w:hAnsi="微软雅黑" w:eastAsia="微软雅黑"/>
          <w:szCs w:val="21"/>
          <w:highlight w:val="none"/>
        </w:rPr>
        <w:t>：50,000.00×1.0</w:t>
      </w:r>
      <w:r>
        <w:rPr>
          <w:rFonts w:hint="eastAsia" w:ascii="微软雅黑" w:hAnsi="微软雅黑" w:eastAsia="微软雅黑"/>
          <w:szCs w:val="21"/>
          <w:highlight w:val="none"/>
          <w:lang w:val="en-US" w:eastAsia="zh-CN"/>
        </w:rPr>
        <w:t>450</w:t>
      </w:r>
      <w:r>
        <w:rPr>
          <w:rFonts w:hint="eastAsia" w:ascii="微软雅黑" w:hAnsi="微软雅黑" w:eastAsia="微软雅黑"/>
          <w:szCs w:val="21"/>
          <w:highlight w:val="none"/>
        </w:rPr>
        <w:t>0000-</w:t>
      </w:r>
      <w:r>
        <w:rPr>
          <w:rFonts w:hint="eastAsia" w:ascii="微软雅黑" w:hAnsi="微软雅黑" w:eastAsia="微软雅黑"/>
          <w:szCs w:val="21"/>
          <w:highlight w:val="none"/>
          <w:lang w:val="en-US" w:eastAsia="zh-CN"/>
        </w:rPr>
        <w:t>30.82</w:t>
      </w:r>
      <w:r>
        <w:rPr>
          <w:rFonts w:hint="eastAsia" w:ascii="微软雅黑" w:hAnsi="微软雅黑" w:eastAsia="微软雅黑"/>
          <w:szCs w:val="21"/>
          <w:highlight w:val="none"/>
        </w:rPr>
        <w:t xml:space="preserve">= </w:t>
      </w:r>
      <w:r>
        <w:rPr>
          <w:rFonts w:hint="eastAsia" w:ascii="微软雅黑" w:hAnsi="微软雅黑" w:eastAsia="微软雅黑"/>
          <w:szCs w:val="21"/>
          <w:highlight w:val="none"/>
          <w:lang w:val="en-US" w:eastAsia="zh-CN"/>
        </w:rPr>
        <w:t>5</w:t>
      </w:r>
      <w:r>
        <w:rPr>
          <w:rFonts w:hint="eastAsia" w:ascii="微软雅黑" w:hAnsi="微软雅黑" w:eastAsia="微软雅黑"/>
          <w:szCs w:val="21"/>
          <w:highlight w:val="none"/>
        </w:rPr>
        <w:t>2,219.18（元）。</w:t>
      </w:r>
    </w:p>
    <w:p>
      <w:pPr>
        <w:spacing w:line="320" w:lineRule="exact"/>
        <w:ind w:firstLine="420" w:firstLineChars="200"/>
        <w:rPr>
          <w:rFonts w:hint="eastAsia" w:ascii="微软雅黑" w:hAnsi="微软雅黑" w:eastAsia="微软雅黑"/>
          <w:szCs w:val="21"/>
          <w:highlight w:val="none"/>
          <w:lang w:eastAsia="zh-CN"/>
        </w:rPr>
      </w:pPr>
      <w:r>
        <w:rPr>
          <w:rFonts w:hint="eastAsia" w:ascii="微软雅黑" w:hAnsi="微软雅黑" w:eastAsia="微软雅黑"/>
          <w:szCs w:val="21"/>
          <w:highlight w:val="none"/>
        </w:rPr>
        <w:t>情景二：扣除产品各项费用（包括不限于托管费、运营服务费、销售手续费</w:t>
      </w:r>
      <w:r>
        <w:rPr>
          <w:rFonts w:hint="eastAsia" w:ascii="微软雅黑" w:hAnsi="微软雅黑" w:eastAsia="微软雅黑"/>
          <w:szCs w:val="21"/>
          <w:highlight w:val="none"/>
          <w:lang w:eastAsia="zh-CN"/>
        </w:rPr>
        <w:t>、</w:t>
      </w:r>
      <w:r>
        <w:rPr>
          <w:rFonts w:hint="eastAsia" w:ascii="微软雅黑" w:hAnsi="微软雅黑" w:eastAsia="微软雅黑"/>
          <w:szCs w:val="21"/>
          <w:highlight w:val="none"/>
        </w:rPr>
        <w:t>固定投资管理费</w:t>
      </w:r>
      <w:r>
        <w:rPr>
          <w:rFonts w:hint="eastAsia" w:ascii="微软雅黑" w:hAnsi="微软雅黑" w:eastAsia="微软雅黑"/>
          <w:szCs w:val="21"/>
          <w:highlight w:val="none"/>
          <w:lang w:val="en-US" w:eastAsia="zh-CN"/>
        </w:rPr>
        <w:t>和其他费用</w:t>
      </w:r>
      <w:r>
        <w:rPr>
          <w:rFonts w:hint="eastAsia" w:ascii="微软雅黑" w:hAnsi="微软雅黑" w:eastAsia="微软雅黑"/>
          <w:szCs w:val="21"/>
          <w:highlight w:val="none"/>
        </w:rPr>
        <w:t>）后，投资</w:t>
      </w:r>
      <w:r>
        <w:rPr>
          <w:rFonts w:hint="eastAsia" w:ascii="微软雅黑" w:hAnsi="微软雅黑" w:eastAsia="微软雅黑"/>
          <w:szCs w:val="21"/>
          <w:highlight w:val="none"/>
          <w:lang w:eastAsia="zh-CN"/>
        </w:rPr>
        <w:t>表现</w:t>
      </w:r>
      <w:r>
        <w:rPr>
          <w:rFonts w:hint="eastAsia" w:ascii="微软雅黑" w:hAnsi="微软雅黑" w:eastAsia="微软雅黑"/>
          <w:szCs w:val="21"/>
          <w:highlight w:val="none"/>
        </w:rPr>
        <w:t>未达到业绩比较基准</w:t>
      </w:r>
      <w:r>
        <w:rPr>
          <w:rFonts w:hint="eastAsia" w:ascii="微软雅黑" w:hAnsi="微软雅黑" w:eastAsia="微软雅黑"/>
          <w:szCs w:val="21"/>
          <w:highlight w:val="none"/>
          <w:lang w:eastAsia="zh-CN"/>
        </w:rPr>
        <w:t>上限。</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假设客户投资5万元，购买时产品净值为</w:t>
      </w:r>
      <w:r>
        <w:rPr>
          <w:rFonts w:ascii="微软雅黑" w:hAnsi="微软雅黑" w:eastAsia="微软雅黑"/>
          <w:szCs w:val="21"/>
          <w:highlight w:val="none"/>
        </w:rPr>
        <w:t>1.00</w:t>
      </w:r>
      <w:r>
        <w:rPr>
          <w:rFonts w:hint="eastAsia" w:ascii="微软雅黑" w:hAnsi="微软雅黑" w:eastAsia="微软雅黑"/>
          <w:szCs w:val="21"/>
          <w:highlight w:val="none"/>
        </w:rPr>
        <w:t>000000元，折算份额为5</w:t>
      </w:r>
      <w:r>
        <w:rPr>
          <w:rFonts w:ascii="微软雅黑" w:hAnsi="微软雅黑" w:eastAsia="微软雅黑"/>
          <w:szCs w:val="21"/>
          <w:highlight w:val="none"/>
        </w:rPr>
        <w:t>0,000.00</w:t>
      </w:r>
      <w:r>
        <w:rPr>
          <w:rFonts w:hint="eastAsia" w:ascii="微软雅黑" w:hAnsi="微软雅黑" w:eastAsia="微软雅黑"/>
          <w:szCs w:val="21"/>
          <w:highlight w:val="none"/>
        </w:rPr>
        <w:t>份。产品到期时，若客户持有的份额依然为5</w:t>
      </w:r>
      <w:r>
        <w:rPr>
          <w:rFonts w:ascii="微软雅黑" w:hAnsi="微软雅黑" w:eastAsia="微软雅黑"/>
          <w:szCs w:val="21"/>
          <w:highlight w:val="none"/>
        </w:rPr>
        <w:t>0,000.00</w:t>
      </w:r>
      <w:r>
        <w:rPr>
          <w:rFonts w:hint="eastAsia" w:ascii="微软雅黑" w:hAnsi="微软雅黑" w:eastAsia="微软雅黑"/>
          <w:szCs w:val="21"/>
          <w:highlight w:val="none"/>
        </w:rPr>
        <w:t>份（即存续期中未发生提前终止或其他情形），扣除产品各项费用（包括不限于托管费、运营服务费、销售手续费</w:t>
      </w:r>
      <w:r>
        <w:rPr>
          <w:rFonts w:hint="eastAsia" w:ascii="微软雅黑" w:hAnsi="微软雅黑" w:eastAsia="微软雅黑"/>
          <w:szCs w:val="21"/>
          <w:highlight w:val="none"/>
          <w:lang w:eastAsia="zh-CN"/>
        </w:rPr>
        <w:t>、</w:t>
      </w:r>
      <w:r>
        <w:rPr>
          <w:rFonts w:hint="eastAsia" w:ascii="微软雅黑" w:hAnsi="微软雅黑" w:eastAsia="微软雅黑"/>
          <w:szCs w:val="21"/>
          <w:highlight w:val="none"/>
        </w:rPr>
        <w:t>固定投资管理费</w:t>
      </w:r>
      <w:r>
        <w:rPr>
          <w:rFonts w:hint="eastAsia" w:ascii="微软雅黑" w:hAnsi="微软雅黑" w:eastAsia="微软雅黑"/>
          <w:szCs w:val="21"/>
          <w:highlight w:val="none"/>
          <w:lang w:val="en-US" w:eastAsia="zh-CN"/>
        </w:rPr>
        <w:t>和其他费用</w:t>
      </w:r>
      <w:r>
        <w:rPr>
          <w:rFonts w:hint="eastAsia" w:ascii="微软雅黑" w:hAnsi="微软雅黑" w:eastAsia="微软雅黑"/>
          <w:szCs w:val="21"/>
          <w:highlight w:val="none"/>
        </w:rPr>
        <w:t>）后，如产品净值为</w:t>
      </w:r>
      <w:r>
        <w:rPr>
          <w:rFonts w:ascii="微软雅黑" w:hAnsi="微软雅黑" w:eastAsia="微软雅黑"/>
          <w:szCs w:val="21"/>
          <w:highlight w:val="none"/>
        </w:rPr>
        <w:t>1.</w:t>
      </w:r>
      <w:r>
        <w:rPr>
          <w:rFonts w:hint="eastAsia" w:ascii="微软雅黑" w:hAnsi="微软雅黑" w:eastAsia="微软雅黑"/>
          <w:szCs w:val="21"/>
          <w:highlight w:val="none"/>
        </w:rPr>
        <w:t>0</w:t>
      </w:r>
      <w:r>
        <w:rPr>
          <w:rFonts w:hint="eastAsia" w:ascii="微软雅黑" w:hAnsi="微软雅黑" w:eastAsia="微软雅黑"/>
          <w:szCs w:val="21"/>
          <w:highlight w:val="none"/>
          <w:lang w:val="en-US" w:eastAsia="zh-CN"/>
        </w:rPr>
        <w:t>410</w:t>
      </w:r>
      <w:r>
        <w:rPr>
          <w:rFonts w:hint="eastAsia" w:ascii="微软雅黑" w:hAnsi="微软雅黑" w:eastAsia="微软雅黑"/>
          <w:szCs w:val="21"/>
          <w:highlight w:val="none"/>
        </w:rPr>
        <w:t>0000，</w:t>
      </w:r>
    </w:p>
    <w:p>
      <w:pPr>
        <w:spacing w:line="320" w:lineRule="exact"/>
        <w:ind w:firstLine="420" w:firstLineChars="200"/>
        <w:rPr>
          <w:rFonts w:hint="eastAsia" w:ascii="微软雅黑" w:hAnsi="微软雅黑" w:eastAsia="微软雅黑"/>
          <w:szCs w:val="21"/>
          <w:highlight w:val="none"/>
          <w:lang w:eastAsia="zh-CN"/>
        </w:rPr>
      </w:pPr>
      <w:r>
        <w:rPr>
          <w:rFonts w:hint="eastAsia" w:ascii="微软雅黑" w:hAnsi="微软雅黑" w:eastAsia="微软雅黑"/>
          <w:szCs w:val="21"/>
          <w:highlight w:val="none"/>
        </w:rPr>
        <w:t>此时，</w:t>
      </w:r>
      <w:r>
        <w:rPr>
          <w:rFonts w:ascii="微软雅黑" w:hAnsi="微软雅黑" w:eastAsia="微软雅黑"/>
          <w:szCs w:val="21"/>
          <w:highlight w:val="none"/>
        </w:rPr>
        <w:t>(1.</w:t>
      </w:r>
      <w:r>
        <w:rPr>
          <w:rFonts w:hint="eastAsia" w:ascii="微软雅黑" w:hAnsi="微软雅黑" w:eastAsia="微软雅黑"/>
          <w:szCs w:val="21"/>
          <w:highlight w:val="none"/>
        </w:rPr>
        <w:t>0</w:t>
      </w:r>
      <w:r>
        <w:rPr>
          <w:rFonts w:hint="eastAsia" w:ascii="微软雅黑" w:hAnsi="微软雅黑" w:eastAsia="微软雅黑"/>
          <w:szCs w:val="21"/>
          <w:highlight w:val="none"/>
          <w:lang w:val="en-US" w:eastAsia="zh-CN"/>
        </w:rPr>
        <w:t>410</w:t>
      </w:r>
      <w:r>
        <w:rPr>
          <w:rFonts w:hint="eastAsia" w:ascii="微软雅黑" w:hAnsi="微软雅黑" w:eastAsia="微软雅黑"/>
          <w:szCs w:val="21"/>
          <w:highlight w:val="none"/>
        </w:rPr>
        <w:t>0000</w:t>
      </w:r>
      <w:r>
        <w:rPr>
          <w:rFonts w:ascii="微软雅黑" w:hAnsi="微软雅黑" w:eastAsia="微软雅黑"/>
          <w:szCs w:val="21"/>
          <w:highlight w:val="none"/>
        </w:rPr>
        <w:t>/1.00</w:t>
      </w:r>
      <w:r>
        <w:rPr>
          <w:rFonts w:hint="eastAsia" w:ascii="微软雅黑" w:hAnsi="微软雅黑" w:eastAsia="微软雅黑"/>
          <w:szCs w:val="21"/>
          <w:highlight w:val="none"/>
        </w:rPr>
        <w:t>000000</w:t>
      </w:r>
      <w:r>
        <w:rPr>
          <w:rFonts w:ascii="微软雅黑" w:hAnsi="微软雅黑" w:eastAsia="微软雅黑"/>
          <w:szCs w:val="21"/>
          <w:highlight w:val="none"/>
        </w:rPr>
        <w:t>-1)</w:t>
      </w:r>
      <w:r>
        <w:rPr>
          <w:rFonts w:hint="eastAsia" w:ascii="微软雅黑" w:hAnsi="微软雅黑" w:eastAsia="微软雅黑"/>
          <w:szCs w:val="21"/>
          <w:highlight w:val="none"/>
        </w:rPr>
        <w:t>×</w:t>
      </w:r>
      <w:r>
        <w:rPr>
          <w:rFonts w:ascii="微软雅黑" w:hAnsi="微软雅黑" w:eastAsia="微软雅黑"/>
          <w:szCs w:val="21"/>
          <w:highlight w:val="none"/>
        </w:rPr>
        <w:t>365/</w:t>
      </w:r>
      <w:r>
        <w:rPr>
          <w:rFonts w:hint="eastAsia" w:ascii="微软雅黑" w:hAnsi="微软雅黑" w:eastAsia="微软雅黑"/>
          <w:szCs w:val="21"/>
          <w:highlight w:val="none"/>
        </w:rPr>
        <w:t>360</w:t>
      </w:r>
      <w:r>
        <w:rPr>
          <w:rFonts w:ascii="微软雅黑" w:hAnsi="微软雅黑" w:eastAsia="微软雅黑"/>
          <w:szCs w:val="21"/>
          <w:highlight w:val="none"/>
        </w:rPr>
        <w:t>=</w:t>
      </w:r>
      <w:r>
        <w:rPr>
          <w:rFonts w:hint="eastAsia" w:ascii="微软雅黑" w:hAnsi="微软雅黑" w:eastAsia="微软雅黑"/>
          <w:szCs w:val="21"/>
          <w:highlight w:val="none"/>
          <w:lang w:val="en-US" w:eastAsia="zh-CN"/>
        </w:rPr>
        <w:t>4.16</w:t>
      </w:r>
      <w:r>
        <w:rPr>
          <w:rFonts w:ascii="微软雅黑" w:hAnsi="微软雅黑" w:eastAsia="微软雅黑"/>
          <w:szCs w:val="21"/>
          <w:highlight w:val="none"/>
        </w:rPr>
        <w:t>%&lt;</w:t>
      </w:r>
      <w:r>
        <w:rPr>
          <w:rFonts w:hint="eastAsia" w:ascii="微软雅黑" w:hAnsi="微软雅黑" w:eastAsia="微软雅黑"/>
          <w:szCs w:val="21"/>
          <w:highlight w:val="none"/>
          <w:lang w:val="en-US" w:eastAsia="zh-CN"/>
        </w:rPr>
        <w:t>4</w:t>
      </w:r>
      <w:r>
        <w:rPr>
          <w:rFonts w:ascii="微软雅黑" w:hAnsi="微软雅黑" w:eastAsia="微软雅黑"/>
          <w:szCs w:val="21"/>
          <w:highlight w:val="none"/>
        </w:rPr>
        <w:t>.</w:t>
      </w:r>
      <w:r>
        <w:rPr>
          <w:rFonts w:hint="eastAsia" w:ascii="微软雅黑" w:hAnsi="微软雅黑" w:eastAsia="微软雅黑"/>
          <w:szCs w:val="21"/>
          <w:highlight w:val="none"/>
          <w:lang w:val="en-US" w:eastAsia="zh-CN"/>
        </w:rPr>
        <w:t>5</w:t>
      </w:r>
      <w:r>
        <w:rPr>
          <w:rFonts w:ascii="微软雅黑" w:hAnsi="微软雅黑" w:eastAsia="微软雅黑"/>
          <w:szCs w:val="21"/>
          <w:highlight w:val="none"/>
        </w:rPr>
        <w:t>0%</w:t>
      </w:r>
      <w:r>
        <w:rPr>
          <w:rFonts w:hint="eastAsia" w:ascii="微软雅黑" w:hAnsi="微软雅黑" w:eastAsia="微软雅黑"/>
          <w:szCs w:val="21"/>
          <w:highlight w:val="none"/>
        </w:rPr>
        <w:t>，即投资</w:t>
      </w:r>
      <w:r>
        <w:rPr>
          <w:rFonts w:hint="eastAsia" w:ascii="微软雅黑" w:hAnsi="微软雅黑" w:eastAsia="微软雅黑"/>
          <w:szCs w:val="21"/>
          <w:highlight w:val="none"/>
          <w:lang w:eastAsia="zh-CN"/>
        </w:rPr>
        <w:t>表现</w:t>
      </w:r>
      <w:r>
        <w:rPr>
          <w:rFonts w:hint="eastAsia" w:ascii="微软雅黑" w:hAnsi="微软雅黑" w:eastAsia="微软雅黑"/>
          <w:szCs w:val="21"/>
          <w:highlight w:val="none"/>
        </w:rPr>
        <w:t>未达到业绩比较基准</w:t>
      </w:r>
      <w:r>
        <w:rPr>
          <w:rFonts w:hint="eastAsia" w:ascii="微软雅黑" w:hAnsi="微软雅黑" w:eastAsia="微软雅黑"/>
          <w:szCs w:val="21"/>
          <w:highlight w:val="none"/>
          <w:lang w:eastAsia="zh-CN"/>
        </w:rPr>
        <w:t>上限</w:t>
      </w:r>
      <w:r>
        <w:rPr>
          <w:rFonts w:hint="eastAsia" w:ascii="微软雅黑" w:hAnsi="微软雅黑" w:eastAsia="微软雅黑"/>
          <w:szCs w:val="21"/>
          <w:highlight w:val="none"/>
        </w:rPr>
        <w:t>，此时，珠海华润银行不收取浮动投资管理费</w:t>
      </w:r>
      <w:r>
        <w:rPr>
          <w:rFonts w:hint="eastAsia" w:ascii="微软雅黑" w:hAnsi="微软雅黑" w:eastAsia="微软雅黑"/>
          <w:szCs w:val="21"/>
          <w:highlight w:val="none"/>
          <w:lang w:eastAsia="zh-CN"/>
        </w:rPr>
        <w:t>。</w:t>
      </w:r>
    </w:p>
    <w:p>
      <w:pPr>
        <w:spacing w:line="320" w:lineRule="exact"/>
        <w:ind w:firstLine="420" w:firstLineChars="200"/>
        <w:rPr>
          <w:rFonts w:hint="eastAsia" w:ascii="微软雅黑" w:hAnsi="微软雅黑" w:eastAsia="微软雅黑"/>
          <w:szCs w:val="21"/>
          <w:highlight w:val="none"/>
        </w:rPr>
      </w:pPr>
      <w:r>
        <w:rPr>
          <w:rFonts w:hint="eastAsia" w:ascii="微软雅黑" w:hAnsi="微软雅黑" w:eastAsia="微软雅黑"/>
          <w:szCs w:val="21"/>
          <w:highlight w:val="none"/>
          <w:lang w:eastAsia="zh-CN"/>
        </w:rPr>
        <w:t>客户应得赎回金额：</w:t>
      </w:r>
      <w:r>
        <w:rPr>
          <w:rFonts w:hint="eastAsia" w:ascii="微软雅黑" w:hAnsi="微软雅黑" w:eastAsia="微软雅黑"/>
          <w:szCs w:val="21"/>
          <w:highlight w:val="none"/>
        </w:rPr>
        <w:t>50,000.00×</w:t>
      </w:r>
      <w:r>
        <w:rPr>
          <w:rFonts w:ascii="微软雅黑" w:hAnsi="微软雅黑" w:eastAsia="微软雅黑"/>
          <w:szCs w:val="21"/>
          <w:highlight w:val="none"/>
        </w:rPr>
        <w:t>1.</w:t>
      </w:r>
      <w:r>
        <w:rPr>
          <w:rFonts w:hint="eastAsia" w:ascii="微软雅黑" w:hAnsi="微软雅黑" w:eastAsia="微软雅黑"/>
          <w:szCs w:val="21"/>
          <w:highlight w:val="none"/>
        </w:rPr>
        <w:t>0</w:t>
      </w:r>
      <w:r>
        <w:rPr>
          <w:rFonts w:hint="eastAsia" w:ascii="微软雅黑" w:hAnsi="微软雅黑" w:eastAsia="微软雅黑"/>
          <w:szCs w:val="21"/>
          <w:highlight w:val="none"/>
          <w:lang w:val="en-US" w:eastAsia="zh-CN"/>
        </w:rPr>
        <w:t>410</w:t>
      </w:r>
      <w:r>
        <w:rPr>
          <w:rFonts w:hint="eastAsia" w:ascii="微软雅黑" w:hAnsi="微软雅黑" w:eastAsia="微软雅黑"/>
          <w:szCs w:val="21"/>
          <w:highlight w:val="none"/>
        </w:rPr>
        <w:t>0000= 52,050.00</w:t>
      </w:r>
      <w:r>
        <w:rPr>
          <w:rFonts w:hint="eastAsia" w:ascii="微软雅黑" w:hAnsi="微软雅黑" w:eastAsia="微软雅黑"/>
          <w:szCs w:val="21"/>
          <w:highlight w:val="none"/>
          <w:lang w:eastAsia="zh-CN"/>
        </w:rPr>
        <w:t>（</w:t>
      </w:r>
      <w:r>
        <w:rPr>
          <w:rFonts w:hint="eastAsia" w:ascii="微软雅黑" w:hAnsi="微软雅黑" w:eastAsia="微软雅黑"/>
          <w:szCs w:val="21"/>
          <w:highlight w:val="none"/>
        </w:rPr>
        <w:t>元）。</w:t>
      </w:r>
    </w:p>
    <w:p>
      <w:pPr>
        <w:spacing w:line="320" w:lineRule="exact"/>
        <w:ind w:firstLine="420" w:firstLineChars="200"/>
        <w:rPr>
          <w:rFonts w:hint="eastAsia" w:ascii="微软雅黑" w:hAnsi="微软雅黑" w:eastAsia="微软雅黑"/>
          <w:szCs w:val="21"/>
          <w:highlight w:val="none"/>
          <w:lang w:val="en-US" w:eastAsia="zh-CN"/>
        </w:rPr>
      </w:pPr>
      <w:r>
        <w:rPr>
          <w:rFonts w:hint="eastAsia" w:ascii="微软雅黑" w:hAnsi="微软雅黑" w:eastAsia="微软雅黑"/>
          <w:szCs w:val="21"/>
          <w:highlight w:val="none"/>
          <w:lang w:eastAsia="zh-CN"/>
        </w:rPr>
        <w:t>情景三：</w:t>
      </w:r>
      <w:r>
        <w:rPr>
          <w:rFonts w:hint="eastAsia" w:ascii="微软雅黑" w:hAnsi="微软雅黑" w:eastAsia="微软雅黑"/>
          <w:szCs w:val="21"/>
          <w:highlight w:val="none"/>
        </w:rPr>
        <w:t>扣除产品各项费用（包括不限于托管费、运营服务费、销售手续费</w:t>
      </w:r>
      <w:r>
        <w:rPr>
          <w:rFonts w:hint="eastAsia" w:ascii="微软雅黑" w:hAnsi="微软雅黑" w:eastAsia="微软雅黑"/>
          <w:szCs w:val="21"/>
          <w:highlight w:val="none"/>
          <w:lang w:eastAsia="zh-CN"/>
        </w:rPr>
        <w:t>、</w:t>
      </w:r>
      <w:r>
        <w:rPr>
          <w:rFonts w:hint="eastAsia" w:ascii="微软雅黑" w:hAnsi="微软雅黑" w:eastAsia="微软雅黑"/>
          <w:szCs w:val="21"/>
          <w:highlight w:val="none"/>
        </w:rPr>
        <w:t>固定投资管理费</w:t>
      </w:r>
      <w:r>
        <w:rPr>
          <w:rFonts w:hint="eastAsia" w:ascii="微软雅黑" w:hAnsi="微软雅黑" w:eastAsia="微软雅黑"/>
          <w:szCs w:val="21"/>
          <w:highlight w:val="none"/>
          <w:lang w:val="en-US" w:eastAsia="zh-CN"/>
        </w:rPr>
        <w:t>和其他费用</w:t>
      </w:r>
      <w:r>
        <w:rPr>
          <w:rFonts w:hint="eastAsia" w:ascii="微软雅黑" w:hAnsi="微软雅黑" w:eastAsia="微软雅黑"/>
          <w:szCs w:val="21"/>
          <w:highlight w:val="none"/>
        </w:rPr>
        <w:t>）后</w:t>
      </w:r>
      <w:r>
        <w:rPr>
          <w:rFonts w:hint="eastAsia" w:ascii="微软雅黑" w:hAnsi="微软雅黑" w:eastAsia="微软雅黑"/>
          <w:szCs w:val="21"/>
          <w:highlight w:val="none"/>
          <w:lang w:eastAsia="zh-CN"/>
        </w:rPr>
        <w:t>，产品净值低于</w:t>
      </w:r>
      <w:r>
        <w:rPr>
          <w:rFonts w:hint="eastAsia" w:ascii="微软雅黑" w:hAnsi="微软雅黑" w:eastAsia="微软雅黑"/>
          <w:szCs w:val="21"/>
          <w:highlight w:val="none"/>
          <w:lang w:val="en-US" w:eastAsia="zh-CN"/>
        </w:rPr>
        <w:t>1，客户出现本金亏损。假设赎回时产品净值</w:t>
      </w:r>
      <w:r>
        <w:rPr>
          <w:rFonts w:hint="eastAsia" w:ascii="微软雅黑" w:hAnsi="微软雅黑" w:eastAsia="微软雅黑"/>
          <w:szCs w:val="21"/>
          <w:highlight w:val="none"/>
          <w:lang w:eastAsia="zh-CN"/>
        </w:rPr>
        <w:t>为</w:t>
      </w:r>
      <w:r>
        <w:rPr>
          <w:rFonts w:hint="eastAsia" w:ascii="微软雅黑" w:hAnsi="微软雅黑" w:eastAsia="微软雅黑"/>
          <w:szCs w:val="21"/>
          <w:highlight w:val="none"/>
          <w:lang w:val="en-US" w:eastAsia="zh-CN"/>
        </w:rPr>
        <w:t>0.99980000，</w:t>
      </w:r>
    </w:p>
    <w:p>
      <w:pPr>
        <w:spacing w:line="320" w:lineRule="exact"/>
        <w:ind w:firstLine="420" w:firstLineChars="200"/>
        <w:rPr>
          <w:rFonts w:hint="default" w:ascii="微软雅黑" w:hAnsi="微软雅黑" w:eastAsia="微软雅黑"/>
          <w:szCs w:val="21"/>
          <w:highlight w:val="none"/>
          <w:lang w:val="en-US" w:eastAsia="zh-CN"/>
        </w:rPr>
      </w:pPr>
      <w:r>
        <w:rPr>
          <w:rFonts w:hint="eastAsia" w:ascii="微软雅黑" w:hAnsi="微软雅黑" w:eastAsia="微软雅黑"/>
          <w:szCs w:val="21"/>
          <w:highlight w:val="none"/>
          <w:lang w:val="en-US" w:eastAsia="zh-CN"/>
        </w:rPr>
        <w:t>客户应得赎回金额：</w:t>
      </w:r>
      <w:r>
        <w:rPr>
          <w:rFonts w:hint="eastAsia" w:ascii="微软雅黑" w:hAnsi="微软雅黑" w:eastAsia="微软雅黑"/>
          <w:szCs w:val="21"/>
          <w:highlight w:val="none"/>
        </w:rPr>
        <w:t>50,000.00×</w:t>
      </w:r>
      <w:r>
        <w:rPr>
          <w:rFonts w:hint="eastAsia" w:ascii="微软雅黑" w:hAnsi="微软雅黑" w:eastAsia="微软雅黑"/>
          <w:szCs w:val="21"/>
          <w:highlight w:val="none"/>
          <w:lang w:val="en-US" w:eastAsia="zh-CN"/>
        </w:rPr>
        <w:t>0.99980000= 49,990.00（元）</w:t>
      </w:r>
    </w:p>
    <w:p>
      <w:pPr>
        <w:spacing w:line="320" w:lineRule="exact"/>
        <w:ind w:firstLine="420" w:firstLineChars="200"/>
        <w:rPr>
          <w:rFonts w:hint="eastAsia" w:ascii="微软雅黑" w:hAnsi="微软雅黑" w:eastAsia="微软雅黑"/>
          <w:szCs w:val="21"/>
          <w:highlight w:val="none"/>
        </w:rPr>
      </w:pPr>
      <w:r>
        <w:rPr>
          <w:rFonts w:hint="eastAsia" w:ascii="微软雅黑" w:hAnsi="微软雅黑" w:eastAsia="微软雅黑"/>
          <w:szCs w:val="21"/>
          <w:highlight w:val="none"/>
        </w:rPr>
        <w:t>（以上情景均采用假设数据计算，仅为举例之用，不作为最终收益的计算依据。测算收益不等于实际收益，亦不构成珠海华润银行对本理财产品的任何收益承诺，投资须谨慎。）</w:t>
      </w:r>
    </w:p>
    <w:p>
      <w:pPr>
        <w:spacing w:line="320" w:lineRule="exact"/>
        <w:ind w:firstLine="420" w:firstLineChars="200"/>
        <w:rPr>
          <w:rFonts w:hint="eastAsia" w:ascii="微软雅黑" w:hAnsi="微软雅黑" w:eastAsia="微软雅黑"/>
          <w:szCs w:val="21"/>
          <w:highlight w:val="none"/>
        </w:rPr>
      </w:pPr>
    </w:p>
    <w:p>
      <w:pPr>
        <w:adjustRightInd w:val="0"/>
        <w:snapToGrid w:val="0"/>
        <w:spacing w:before="93" w:beforeLines="30" w:after="93" w:afterLines="30" w:line="320" w:lineRule="exact"/>
        <w:ind w:left="454"/>
        <w:rPr>
          <w:rFonts w:ascii="微软雅黑" w:hAnsi="微软雅黑" w:eastAsia="微软雅黑" w:cs="Arial"/>
          <w:b/>
          <w:szCs w:val="21"/>
          <w:highlight w:val="none"/>
        </w:rPr>
      </w:pPr>
      <w:r>
        <w:rPr>
          <w:rFonts w:hint="eastAsia" w:ascii="微软雅黑" w:hAnsi="微软雅黑" w:eastAsia="微软雅黑" w:cs="Arial"/>
          <w:b/>
          <w:szCs w:val="21"/>
          <w:highlight w:val="none"/>
        </w:rPr>
        <w:t>七、理财产品估值</w:t>
      </w:r>
    </w:p>
    <w:p>
      <w:pPr>
        <w:spacing w:line="320" w:lineRule="exact"/>
        <w:ind w:firstLine="420" w:firstLineChars="200"/>
        <w:rPr>
          <w:rFonts w:ascii="微软雅黑" w:hAnsi="微软雅黑" w:eastAsia="微软雅黑"/>
          <w:b/>
          <w:bCs/>
          <w:szCs w:val="21"/>
          <w:highlight w:val="none"/>
        </w:rPr>
      </w:pPr>
      <w:r>
        <w:rPr>
          <w:rFonts w:hint="eastAsia" w:ascii="微软雅黑" w:hAnsi="微软雅黑" w:eastAsia="微软雅黑"/>
          <w:b/>
          <w:bCs/>
          <w:szCs w:val="21"/>
          <w:highlight w:val="none"/>
        </w:rPr>
        <w:t>（一）估值日</w:t>
      </w:r>
    </w:p>
    <w:p>
      <w:pPr>
        <w:spacing w:line="320" w:lineRule="exact"/>
        <w:ind w:firstLine="420" w:firstLineChars="200"/>
        <w:rPr>
          <w:rFonts w:hint="eastAsia" w:ascii="微软雅黑" w:hAnsi="微软雅黑" w:eastAsia="微软雅黑"/>
          <w:szCs w:val="21"/>
          <w:highlight w:val="none"/>
        </w:rPr>
      </w:pPr>
      <w:r>
        <w:rPr>
          <w:rFonts w:hint="eastAsia" w:ascii="微软雅黑" w:hAnsi="微软雅黑" w:eastAsia="微软雅黑"/>
          <w:szCs w:val="21"/>
          <w:highlight w:val="none"/>
        </w:rPr>
        <w:t>本理财产品存续期内每周三以及理财产品终止日前一自然日为估值日，如周三为非工作日，则估值日顺延至下一个工作日。管理人于估值日后3个工作日内公布该估值。</w:t>
      </w:r>
    </w:p>
    <w:p>
      <w:pPr>
        <w:spacing w:line="320" w:lineRule="exact"/>
        <w:ind w:firstLine="420" w:firstLineChars="200"/>
        <w:rPr>
          <w:rFonts w:ascii="微软雅黑" w:hAnsi="微软雅黑" w:eastAsia="微软雅黑"/>
          <w:b/>
          <w:bCs/>
          <w:szCs w:val="21"/>
          <w:highlight w:val="none"/>
        </w:rPr>
      </w:pPr>
      <w:r>
        <w:rPr>
          <w:rFonts w:hint="eastAsia" w:ascii="微软雅黑" w:hAnsi="微软雅黑" w:eastAsia="微软雅黑"/>
          <w:b/>
          <w:bCs/>
          <w:szCs w:val="21"/>
          <w:highlight w:val="none"/>
        </w:rPr>
        <w:t>（二）估值对象</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本理财产品所拥有的各类资产及负债。</w:t>
      </w:r>
    </w:p>
    <w:p>
      <w:pPr>
        <w:spacing w:line="320" w:lineRule="exact"/>
        <w:ind w:firstLine="420" w:firstLineChars="200"/>
        <w:rPr>
          <w:rFonts w:ascii="微软雅黑" w:hAnsi="微软雅黑" w:eastAsia="微软雅黑"/>
          <w:b/>
          <w:bCs/>
          <w:szCs w:val="21"/>
          <w:highlight w:val="none"/>
        </w:rPr>
      </w:pPr>
      <w:r>
        <w:rPr>
          <w:rFonts w:hint="eastAsia" w:ascii="微软雅黑" w:hAnsi="微软雅黑" w:eastAsia="微软雅黑"/>
          <w:b/>
          <w:bCs/>
          <w:szCs w:val="21"/>
          <w:highlight w:val="none"/>
        </w:rPr>
        <w:t>（三）估值方法</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本理财产品所投资各类资产原则上按照公允价值估值，具体估值方法如下：</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1.货币市场工具类</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w:t>
      </w:r>
      <w:r>
        <w:rPr>
          <w:rFonts w:ascii="微软雅黑" w:hAnsi="微软雅黑" w:eastAsia="微软雅黑"/>
          <w:szCs w:val="21"/>
          <w:highlight w:val="none"/>
        </w:rPr>
        <w:t>1</w:t>
      </w:r>
      <w:r>
        <w:rPr>
          <w:rFonts w:hint="eastAsia" w:ascii="微软雅黑" w:hAnsi="微软雅黑" w:eastAsia="微软雅黑"/>
          <w:szCs w:val="21"/>
          <w:highlight w:val="none"/>
        </w:rPr>
        <w:t>）存款、拆借、</w:t>
      </w:r>
      <w:r>
        <w:rPr>
          <w:rFonts w:hint="eastAsia" w:ascii="微软雅黑" w:hAnsi="微软雅黑" w:eastAsia="微软雅黑"/>
          <w:szCs w:val="21"/>
          <w:highlight w:val="none"/>
          <w:lang w:eastAsia="zh-CN"/>
        </w:rPr>
        <w:t>债券</w:t>
      </w:r>
      <w:r>
        <w:rPr>
          <w:rFonts w:hint="eastAsia" w:ascii="微软雅黑" w:hAnsi="微软雅黑" w:eastAsia="微软雅黑"/>
          <w:szCs w:val="21"/>
          <w:highlight w:val="none"/>
        </w:rPr>
        <w:t>回购等以本金列示，逐日计提利息；</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w:t>
      </w:r>
      <w:r>
        <w:rPr>
          <w:rFonts w:ascii="微软雅黑" w:hAnsi="微软雅黑" w:eastAsia="微软雅黑"/>
          <w:szCs w:val="21"/>
          <w:highlight w:val="none"/>
        </w:rPr>
        <w:t>2</w:t>
      </w:r>
      <w:r>
        <w:rPr>
          <w:rFonts w:hint="eastAsia" w:ascii="微软雅黑" w:hAnsi="微软雅黑" w:eastAsia="微软雅黑"/>
          <w:szCs w:val="21"/>
          <w:highlight w:val="none"/>
        </w:rPr>
        <w:t>）货币基金以当日基金净值估值。</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2.本理财产品直接持有的标准化债权类资产</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w:t>
      </w:r>
      <w:r>
        <w:rPr>
          <w:rFonts w:ascii="微软雅黑" w:hAnsi="微软雅黑" w:eastAsia="微软雅黑"/>
          <w:szCs w:val="21"/>
          <w:highlight w:val="none"/>
        </w:rPr>
        <w:t>1</w:t>
      </w:r>
      <w:r>
        <w:rPr>
          <w:rFonts w:hint="eastAsia" w:ascii="微软雅黑" w:hAnsi="微软雅黑" w:eastAsia="微软雅黑"/>
          <w:szCs w:val="21"/>
          <w:highlight w:val="none"/>
        </w:rPr>
        <w:t>）原则上以公允价值计量，可选取第三方估值机构（中债、中证等）提供的估值价格、收盘价、或其他估值技术确定公允价值</w:t>
      </w:r>
      <w:r>
        <w:rPr>
          <w:rFonts w:hint="eastAsia" w:ascii="微软雅黑" w:hAnsi="微软雅黑" w:eastAsia="微软雅黑"/>
          <w:szCs w:val="21"/>
          <w:highlight w:val="none"/>
          <w:lang w:eastAsia="zh-CN"/>
        </w:rPr>
        <w:t>；</w:t>
      </w:r>
    </w:p>
    <w:p>
      <w:pPr>
        <w:spacing w:line="320" w:lineRule="exact"/>
        <w:ind w:firstLine="420" w:firstLineChars="200"/>
        <w:rPr>
          <w:rFonts w:hint="eastAsia" w:ascii="微软雅黑" w:hAnsi="微软雅黑" w:eastAsia="微软雅黑"/>
          <w:szCs w:val="21"/>
          <w:highlight w:val="none"/>
          <w:lang w:eastAsia="zh-CN"/>
        </w:rPr>
      </w:pPr>
      <w:r>
        <w:rPr>
          <w:rFonts w:hint="eastAsia" w:ascii="微软雅黑" w:hAnsi="微软雅黑" w:eastAsia="微软雅黑"/>
          <w:szCs w:val="21"/>
          <w:highlight w:val="none"/>
        </w:rPr>
        <w:t>（</w:t>
      </w:r>
      <w:r>
        <w:rPr>
          <w:rFonts w:ascii="微软雅黑" w:hAnsi="微软雅黑" w:eastAsia="微软雅黑"/>
          <w:szCs w:val="21"/>
          <w:highlight w:val="none"/>
        </w:rPr>
        <w:t>2</w:t>
      </w:r>
      <w:r>
        <w:rPr>
          <w:rFonts w:hint="eastAsia" w:ascii="微软雅黑" w:hAnsi="微软雅黑" w:eastAsia="微软雅黑"/>
          <w:szCs w:val="21"/>
          <w:highlight w:val="none"/>
        </w:rPr>
        <w:t>）以收取合同现金流量为目的并持有到期为目的，按照企业会计准则要求，以摊余成本法估值</w:t>
      </w:r>
      <w:r>
        <w:rPr>
          <w:rFonts w:hint="eastAsia" w:ascii="微软雅黑" w:hAnsi="微软雅黑" w:eastAsia="微软雅黑"/>
          <w:szCs w:val="21"/>
          <w:highlight w:val="none"/>
          <w:lang w:eastAsia="zh-CN"/>
        </w:rPr>
        <w:t>。</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3.本理财产品投资于信托计划、资产管理计划等的资产</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w:t>
      </w:r>
      <w:r>
        <w:rPr>
          <w:rFonts w:ascii="微软雅黑" w:hAnsi="微软雅黑" w:eastAsia="微软雅黑"/>
          <w:szCs w:val="21"/>
          <w:highlight w:val="none"/>
        </w:rPr>
        <w:t>1</w:t>
      </w:r>
      <w:r>
        <w:rPr>
          <w:rFonts w:hint="eastAsia" w:ascii="微软雅黑" w:hAnsi="微软雅黑" w:eastAsia="微软雅黑"/>
          <w:szCs w:val="21"/>
          <w:highlight w:val="none"/>
        </w:rPr>
        <w:t>）按合同约定的估值方案，以信托计划的受托人、资产管理计划的管理人等和资产托管人共同确认的净值或投资收益情况进行估值；</w:t>
      </w:r>
    </w:p>
    <w:p>
      <w:pPr>
        <w:spacing w:line="320" w:lineRule="exact"/>
        <w:ind w:firstLine="420" w:firstLineChars="200"/>
        <w:rPr>
          <w:rFonts w:hint="eastAsia" w:ascii="微软雅黑" w:hAnsi="微软雅黑" w:eastAsia="微软雅黑"/>
          <w:szCs w:val="21"/>
          <w:highlight w:val="none"/>
        </w:rPr>
      </w:pPr>
      <w:r>
        <w:rPr>
          <w:rFonts w:hint="eastAsia" w:ascii="微软雅黑" w:hAnsi="微软雅黑" w:eastAsia="微软雅黑"/>
          <w:szCs w:val="21"/>
          <w:highlight w:val="none"/>
        </w:rPr>
        <w:t>（</w:t>
      </w:r>
      <w:r>
        <w:rPr>
          <w:rFonts w:ascii="微软雅黑" w:hAnsi="微软雅黑" w:eastAsia="微软雅黑"/>
          <w:szCs w:val="21"/>
          <w:highlight w:val="none"/>
        </w:rPr>
        <w:t>2</w:t>
      </w:r>
      <w:r>
        <w:rPr>
          <w:rFonts w:hint="eastAsia" w:ascii="微软雅黑" w:hAnsi="微软雅黑" w:eastAsia="微软雅黑"/>
          <w:szCs w:val="21"/>
          <w:highlight w:val="none"/>
        </w:rPr>
        <w:t>）对于无活跃交易的非标准化债权资产等，按</w:t>
      </w:r>
      <w:r>
        <w:rPr>
          <w:rFonts w:hint="eastAsia" w:ascii="微软雅黑" w:hAnsi="微软雅黑" w:eastAsia="微软雅黑"/>
          <w:szCs w:val="21"/>
          <w:highlight w:val="none"/>
          <w:lang w:eastAsia="zh-CN"/>
        </w:rPr>
        <w:t>估值技术确定</w:t>
      </w:r>
      <w:r>
        <w:rPr>
          <w:rFonts w:hint="eastAsia" w:ascii="微软雅黑" w:hAnsi="微软雅黑" w:eastAsia="微软雅黑"/>
          <w:szCs w:val="21"/>
          <w:highlight w:val="none"/>
        </w:rPr>
        <w:t>。</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4.其他资产类估值</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其他资产存在并可以确定公允价值的，以公允价值计算，公允价值不能确定的按估值技术确定。</w:t>
      </w:r>
    </w:p>
    <w:p>
      <w:pPr>
        <w:spacing w:line="320" w:lineRule="exact"/>
        <w:ind w:firstLine="420" w:firstLineChars="200"/>
        <w:rPr>
          <w:rFonts w:hint="eastAsia" w:ascii="微软雅黑" w:hAnsi="微软雅黑" w:eastAsia="微软雅黑"/>
          <w:szCs w:val="21"/>
          <w:highlight w:val="none"/>
        </w:rPr>
      </w:pPr>
      <w:r>
        <w:rPr>
          <w:rFonts w:hint="eastAsia" w:ascii="微软雅黑" w:hAnsi="微软雅黑" w:eastAsia="微软雅黑"/>
          <w:szCs w:val="21"/>
          <w:highlight w:val="none"/>
        </w:rPr>
        <w:t>5.国家有最新规定的，按其规定进行估值。</w:t>
      </w:r>
    </w:p>
    <w:p>
      <w:pPr>
        <w:spacing w:line="320" w:lineRule="exact"/>
        <w:ind w:firstLine="210" w:firstLineChars="100"/>
        <w:rPr>
          <w:rFonts w:hint="eastAsia" w:ascii="微软雅黑" w:hAnsi="微软雅黑" w:eastAsia="微软雅黑"/>
          <w:szCs w:val="21"/>
          <w:highlight w:val="none"/>
        </w:rPr>
      </w:pPr>
      <w:r>
        <w:rPr>
          <w:rFonts w:hint="eastAsia" w:ascii="微软雅黑" w:hAnsi="微软雅黑" w:eastAsia="微软雅黑"/>
          <w:szCs w:val="21"/>
          <w:highlight w:val="none"/>
        </w:rPr>
        <w:t>（四）本期理财产品由珠海华润银行聘请第三方机构进行估值服务，估值服务所产生的运营服务费由理财产品财产承担。</w:t>
      </w:r>
    </w:p>
    <w:p>
      <w:pPr>
        <w:numPr>
          <w:ilvl w:val="-1"/>
          <w:numId w:val="0"/>
        </w:numPr>
        <w:spacing w:line="320" w:lineRule="exact"/>
        <w:ind w:firstLine="210" w:firstLineChars="100"/>
        <w:rPr>
          <w:rFonts w:hint="eastAsia" w:ascii="微软雅黑" w:hAnsi="微软雅黑" w:eastAsia="微软雅黑"/>
          <w:b/>
          <w:bCs/>
          <w:szCs w:val="21"/>
          <w:highlight w:val="none"/>
        </w:rPr>
      </w:pPr>
      <w:r>
        <w:rPr>
          <w:rFonts w:hint="eastAsia" w:ascii="微软雅黑" w:hAnsi="微软雅黑" w:eastAsia="微软雅黑"/>
          <w:b/>
          <w:bCs/>
          <w:szCs w:val="21"/>
          <w:highlight w:val="none"/>
          <w:lang w:eastAsia="zh-CN"/>
        </w:rPr>
        <w:t>（五）估值错误的处理</w:t>
      </w:r>
    </w:p>
    <w:p>
      <w:pPr>
        <w:numPr>
          <w:ilvl w:val="-1"/>
          <w:numId w:val="0"/>
        </w:numPr>
        <w:spacing w:line="320" w:lineRule="exact"/>
        <w:ind w:firstLine="420" w:firstLineChars="200"/>
        <w:rPr>
          <w:rFonts w:hint="eastAsia" w:ascii="微软雅黑" w:hAnsi="微软雅黑" w:eastAsia="微软雅黑"/>
          <w:szCs w:val="21"/>
          <w:highlight w:val="none"/>
          <w:lang w:val="en-US" w:eastAsia="zh-CN"/>
        </w:rPr>
      </w:pPr>
      <w:r>
        <w:rPr>
          <w:rFonts w:hint="eastAsia" w:ascii="微软雅黑" w:hAnsi="微软雅黑" w:eastAsia="微软雅黑"/>
          <w:szCs w:val="21"/>
          <w:highlight w:val="none"/>
          <w:lang w:val="en-US" w:eastAsia="zh-CN"/>
        </w:rPr>
        <w:t>本理财产品管理人和理财产品托管人将采取必要、适当、合理的措施确保本理财产品估值的准确性、及时性。</w:t>
      </w:r>
    </w:p>
    <w:p>
      <w:pPr>
        <w:numPr>
          <w:ilvl w:val="-1"/>
          <w:numId w:val="0"/>
        </w:numPr>
        <w:spacing w:line="320" w:lineRule="exact"/>
        <w:ind w:firstLine="420" w:firstLineChars="200"/>
        <w:rPr>
          <w:rFonts w:hint="eastAsia" w:ascii="微软雅黑" w:hAnsi="微软雅黑" w:eastAsia="微软雅黑"/>
          <w:szCs w:val="21"/>
          <w:highlight w:val="none"/>
          <w:lang w:val="en-US" w:eastAsia="zh-CN"/>
        </w:rPr>
      </w:pPr>
      <w:r>
        <w:rPr>
          <w:rFonts w:hint="eastAsia" w:ascii="微软雅黑" w:hAnsi="微软雅黑" w:eastAsia="微软雅黑"/>
          <w:szCs w:val="21"/>
          <w:highlight w:val="none"/>
          <w:lang w:val="en-US" w:eastAsia="zh-CN"/>
        </w:rPr>
        <w:t>1.估值错误处理原则</w:t>
      </w:r>
    </w:p>
    <w:p>
      <w:pPr>
        <w:numPr>
          <w:ilvl w:val="0"/>
          <w:numId w:val="3"/>
        </w:numPr>
        <w:spacing w:line="320" w:lineRule="exact"/>
        <w:ind w:firstLine="420" w:firstLineChars="200"/>
        <w:rPr>
          <w:rFonts w:hint="eastAsia" w:ascii="微软雅黑" w:hAnsi="微软雅黑" w:eastAsia="微软雅黑"/>
          <w:szCs w:val="21"/>
          <w:highlight w:val="none"/>
          <w:lang w:val="en-US" w:eastAsia="zh-CN"/>
        </w:rPr>
      </w:pPr>
      <w:r>
        <w:rPr>
          <w:rFonts w:hint="eastAsia" w:ascii="微软雅黑" w:hAnsi="微软雅黑" w:eastAsia="微软雅黑"/>
          <w:szCs w:val="21"/>
          <w:highlight w:val="none"/>
          <w:lang w:val="en-US" w:eastAsia="zh-CN"/>
        </w:rPr>
        <w:t>由于理财产品管理人或理财产品托管人自身的过错造成估值错误，导致投资者遭受损失的，由估值错误责任方按照各自过错程度对该估值错误导致投资者遭受的直接损失给予赔偿，承担赔偿责任；</w:t>
      </w:r>
    </w:p>
    <w:p>
      <w:pPr>
        <w:numPr>
          <w:ilvl w:val="0"/>
          <w:numId w:val="3"/>
        </w:numPr>
        <w:spacing w:line="320" w:lineRule="exact"/>
        <w:ind w:firstLine="420" w:firstLineChars="200"/>
        <w:rPr>
          <w:rFonts w:hint="default" w:ascii="微软雅黑" w:hAnsi="微软雅黑" w:eastAsia="微软雅黑"/>
          <w:szCs w:val="21"/>
          <w:highlight w:val="none"/>
          <w:lang w:val="en-US" w:eastAsia="zh-CN"/>
        </w:rPr>
      </w:pPr>
      <w:r>
        <w:rPr>
          <w:rFonts w:hint="eastAsia" w:ascii="微软雅黑" w:hAnsi="微软雅黑" w:eastAsia="微软雅黑"/>
          <w:szCs w:val="21"/>
          <w:highlight w:val="none"/>
          <w:lang w:val="en-US" w:eastAsia="zh-CN"/>
        </w:rPr>
        <w:t>对于因技术原因引起的差错，若系因同行业现有技术水平无法预见、无法避免、无法抗拒，属不可抗力。因不可抗力原因出现差错的当事人不对投资者承担赔偿责任，但因该差错取得不当得利的投资者仍应负有返还不当得利的义务；</w:t>
      </w:r>
    </w:p>
    <w:p>
      <w:pPr>
        <w:numPr>
          <w:ilvl w:val="0"/>
          <w:numId w:val="3"/>
        </w:numPr>
        <w:spacing w:line="320" w:lineRule="exact"/>
        <w:ind w:firstLine="420" w:firstLineChars="200"/>
        <w:rPr>
          <w:rFonts w:hint="default" w:ascii="微软雅黑" w:hAnsi="微软雅黑" w:eastAsia="微软雅黑"/>
          <w:szCs w:val="21"/>
          <w:highlight w:val="none"/>
          <w:lang w:val="en-US" w:eastAsia="zh-CN"/>
        </w:rPr>
      </w:pPr>
      <w:r>
        <w:rPr>
          <w:rFonts w:hint="eastAsia" w:ascii="微软雅黑" w:hAnsi="微软雅黑" w:eastAsia="微软雅黑"/>
          <w:szCs w:val="21"/>
          <w:highlight w:val="none"/>
          <w:lang w:val="en-US" w:eastAsia="zh-CN"/>
        </w:rPr>
        <w:t>因理财产品托管人估值错误造成财产损失时，理财产品管理人应向托管人追偿。若理财产品管理人和理财产品托管人之外的第三方估值差错造成财产的损失，并拒绝进行赔偿时，理财产品由理财产品管理人负责向差错方追偿；追偿过程中产生的有关费用，应列入理财产品费用，由理财产品承担；</w:t>
      </w:r>
    </w:p>
    <w:p>
      <w:pPr>
        <w:numPr>
          <w:ilvl w:val="0"/>
          <w:numId w:val="3"/>
        </w:numPr>
        <w:spacing w:line="320" w:lineRule="exact"/>
        <w:ind w:firstLine="420" w:firstLineChars="200"/>
        <w:rPr>
          <w:rFonts w:hint="default" w:ascii="微软雅黑" w:hAnsi="微软雅黑" w:eastAsia="微软雅黑"/>
          <w:szCs w:val="21"/>
          <w:highlight w:val="none"/>
          <w:lang w:val="en-US" w:eastAsia="zh-CN"/>
        </w:rPr>
      </w:pPr>
      <w:r>
        <w:rPr>
          <w:rFonts w:hint="eastAsia" w:ascii="微软雅黑" w:hAnsi="微软雅黑" w:eastAsia="微软雅黑"/>
          <w:szCs w:val="21"/>
          <w:highlight w:val="none"/>
          <w:lang w:val="en-US" w:eastAsia="zh-CN"/>
        </w:rPr>
        <w:t>当估值出现错误时，因估值错误而获得不当得利的投资者负有及时返还不当得利的义务；</w:t>
      </w:r>
    </w:p>
    <w:p>
      <w:pPr>
        <w:numPr>
          <w:ilvl w:val="0"/>
          <w:numId w:val="3"/>
        </w:numPr>
        <w:spacing w:line="320" w:lineRule="exact"/>
        <w:ind w:firstLine="420" w:firstLineChars="200"/>
        <w:rPr>
          <w:rFonts w:hint="default" w:ascii="微软雅黑" w:hAnsi="微软雅黑" w:eastAsia="微软雅黑"/>
          <w:szCs w:val="21"/>
          <w:highlight w:val="none"/>
          <w:lang w:val="en-US" w:eastAsia="zh-CN"/>
        </w:rPr>
      </w:pPr>
      <w:r>
        <w:rPr>
          <w:rFonts w:hint="eastAsia" w:ascii="微软雅黑" w:hAnsi="微软雅黑" w:eastAsia="微软雅黑"/>
          <w:szCs w:val="21"/>
          <w:highlight w:val="none"/>
          <w:lang w:val="en-US" w:eastAsia="zh-CN"/>
        </w:rPr>
        <w:t>按法律法规规定的其他估值原则处理估值错误。</w:t>
      </w:r>
    </w:p>
    <w:p>
      <w:pPr>
        <w:numPr>
          <w:ilvl w:val="-1"/>
          <w:numId w:val="0"/>
        </w:numPr>
        <w:spacing w:line="320" w:lineRule="exact"/>
        <w:ind w:firstLine="420" w:firstLineChars="200"/>
        <w:rPr>
          <w:rFonts w:hint="eastAsia" w:ascii="微软雅黑" w:hAnsi="微软雅黑" w:eastAsia="微软雅黑"/>
          <w:szCs w:val="21"/>
          <w:highlight w:val="none"/>
          <w:lang w:val="en-US" w:eastAsia="zh-CN"/>
        </w:rPr>
      </w:pPr>
      <w:r>
        <w:rPr>
          <w:rFonts w:hint="eastAsia" w:ascii="微软雅黑" w:hAnsi="微软雅黑" w:eastAsia="微软雅黑"/>
          <w:szCs w:val="21"/>
          <w:highlight w:val="none"/>
          <w:lang w:val="en-US" w:eastAsia="zh-CN"/>
        </w:rPr>
        <w:t>2.估值错误处理程序</w:t>
      </w:r>
    </w:p>
    <w:p>
      <w:pPr>
        <w:numPr>
          <w:ilvl w:val="-1"/>
          <w:numId w:val="0"/>
        </w:numPr>
        <w:spacing w:line="320" w:lineRule="exact"/>
        <w:ind w:firstLine="420" w:firstLineChars="200"/>
        <w:rPr>
          <w:rFonts w:hint="eastAsia" w:ascii="微软雅黑" w:hAnsi="微软雅黑" w:eastAsia="微软雅黑"/>
          <w:szCs w:val="21"/>
          <w:highlight w:val="none"/>
          <w:lang w:val="en-US" w:eastAsia="zh-CN"/>
        </w:rPr>
      </w:pPr>
      <w:r>
        <w:rPr>
          <w:rFonts w:hint="eastAsia" w:ascii="微软雅黑" w:hAnsi="微软雅黑" w:eastAsia="微软雅黑"/>
          <w:szCs w:val="21"/>
          <w:highlight w:val="none"/>
          <w:lang w:val="en-US" w:eastAsia="zh-CN"/>
        </w:rPr>
        <w:t>估值错误被发现后，理财产品管理人和理财产品托管人应当及时进行处理，处理的程序如下：</w:t>
      </w:r>
    </w:p>
    <w:p>
      <w:pPr>
        <w:numPr>
          <w:ilvl w:val="0"/>
          <w:numId w:val="4"/>
        </w:numPr>
        <w:spacing w:line="320" w:lineRule="exact"/>
        <w:ind w:firstLine="420" w:firstLineChars="200"/>
        <w:rPr>
          <w:rFonts w:hint="eastAsia" w:ascii="微软雅黑" w:hAnsi="微软雅黑" w:eastAsia="微软雅黑"/>
          <w:szCs w:val="21"/>
          <w:highlight w:val="none"/>
          <w:lang w:val="en-US" w:eastAsia="zh-CN"/>
        </w:rPr>
      </w:pPr>
      <w:r>
        <w:rPr>
          <w:rFonts w:hint="eastAsia" w:ascii="微软雅黑" w:hAnsi="微软雅黑" w:eastAsia="微软雅黑"/>
          <w:szCs w:val="21"/>
          <w:highlight w:val="none"/>
          <w:lang w:val="en-US" w:eastAsia="zh-CN"/>
        </w:rPr>
        <w:t>查明估值错误发生的原因，列明所有的管理人和托管人并根据估值错误发生的原因确定估值错误的责任方；</w:t>
      </w:r>
    </w:p>
    <w:p>
      <w:pPr>
        <w:numPr>
          <w:ilvl w:val="0"/>
          <w:numId w:val="4"/>
        </w:numPr>
        <w:spacing w:line="320" w:lineRule="exact"/>
        <w:ind w:firstLine="420" w:firstLineChars="200"/>
        <w:rPr>
          <w:rFonts w:hint="default" w:ascii="微软雅黑" w:hAnsi="微软雅黑" w:eastAsia="微软雅黑"/>
          <w:szCs w:val="21"/>
          <w:highlight w:val="none"/>
          <w:lang w:val="en-US" w:eastAsia="zh-CN"/>
        </w:rPr>
      </w:pPr>
      <w:r>
        <w:rPr>
          <w:rFonts w:hint="eastAsia" w:ascii="微软雅黑" w:hAnsi="微软雅黑" w:eastAsia="微软雅黑"/>
          <w:szCs w:val="21"/>
          <w:highlight w:val="none"/>
          <w:lang w:val="en-US" w:eastAsia="zh-CN"/>
        </w:rPr>
        <w:t>根据估值错误处理原则对因估值错误造成的损失进行评估；</w:t>
      </w:r>
    </w:p>
    <w:p>
      <w:pPr>
        <w:numPr>
          <w:ilvl w:val="0"/>
          <w:numId w:val="4"/>
        </w:numPr>
        <w:spacing w:line="320" w:lineRule="exact"/>
        <w:ind w:firstLine="420" w:firstLineChars="200"/>
        <w:rPr>
          <w:rFonts w:hint="default" w:ascii="微软雅黑" w:hAnsi="微软雅黑" w:eastAsia="微软雅黑"/>
          <w:szCs w:val="21"/>
          <w:highlight w:val="none"/>
          <w:lang w:val="en-US" w:eastAsia="zh-CN"/>
        </w:rPr>
      </w:pPr>
      <w:r>
        <w:rPr>
          <w:rFonts w:hint="eastAsia" w:ascii="微软雅黑" w:hAnsi="微软雅黑" w:eastAsia="微软雅黑"/>
          <w:szCs w:val="21"/>
          <w:highlight w:val="none"/>
          <w:lang w:val="en-US" w:eastAsia="zh-CN"/>
        </w:rPr>
        <w:t>根据理财产品管理人和理财产品托管人协商的方法，由理财产品管理人和理财产品牌托管人共同进行更正，由估值错误的责任方进行赔偿损失。</w:t>
      </w:r>
    </w:p>
    <w:p>
      <w:pPr>
        <w:numPr>
          <w:ilvl w:val="-1"/>
          <w:numId w:val="0"/>
        </w:numPr>
        <w:spacing w:line="320" w:lineRule="exact"/>
        <w:ind w:firstLine="420" w:firstLineChars="200"/>
        <w:rPr>
          <w:rFonts w:hint="eastAsia" w:ascii="微软雅黑" w:hAnsi="微软雅黑" w:eastAsia="微软雅黑"/>
          <w:szCs w:val="21"/>
          <w:highlight w:val="none"/>
          <w:lang w:val="en-US" w:eastAsia="zh-CN"/>
        </w:rPr>
      </w:pPr>
      <w:r>
        <w:rPr>
          <w:rFonts w:hint="eastAsia" w:ascii="微软雅黑" w:hAnsi="微软雅黑" w:eastAsia="微软雅黑"/>
          <w:szCs w:val="21"/>
          <w:highlight w:val="none"/>
          <w:lang w:val="en-US" w:eastAsia="zh-CN"/>
        </w:rPr>
        <w:t>3.特殊情况的处理</w:t>
      </w:r>
    </w:p>
    <w:p>
      <w:pPr>
        <w:numPr>
          <w:ilvl w:val="0"/>
          <w:numId w:val="5"/>
        </w:numPr>
        <w:spacing w:line="320" w:lineRule="exact"/>
        <w:ind w:firstLine="420" w:firstLineChars="200"/>
        <w:rPr>
          <w:rFonts w:hint="eastAsia" w:ascii="微软雅黑" w:hAnsi="微软雅黑" w:eastAsia="微软雅黑"/>
          <w:szCs w:val="21"/>
          <w:highlight w:val="none"/>
          <w:lang w:val="en-US" w:eastAsia="zh-CN"/>
        </w:rPr>
      </w:pPr>
      <w:r>
        <w:rPr>
          <w:rFonts w:hint="eastAsia" w:ascii="微软雅黑" w:hAnsi="微软雅黑" w:eastAsia="微软雅黑"/>
          <w:szCs w:val="21"/>
          <w:highlight w:val="none"/>
          <w:lang w:val="en-US" w:eastAsia="zh-CN"/>
        </w:rPr>
        <w:t>理财产品管理人、理财产品托管人按照本说明书估值方法进行估值时，所造成的误差不作为估值错误处理；</w:t>
      </w:r>
    </w:p>
    <w:p>
      <w:pPr>
        <w:numPr>
          <w:ilvl w:val="0"/>
          <w:numId w:val="5"/>
        </w:numPr>
        <w:spacing w:line="320" w:lineRule="exact"/>
        <w:ind w:firstLine="420" w:firstLineChars="200"/>
        <w:rPr>
          <w:rFonts w:hint="default" w:ascii="微软雅黑" w:hAnsi="微软雅黑" w:eastAsia="微软雅黑"/>
          <w:szCs w:val="21"/>
          <w:highlight w:val="none"/>
          <w:lang w:val="en-US" w:eastAsia="zh-CN"/>
        </w:rPr>
      </w:pPr>
      <w:r>
        <w:rPr>
          <w:rFonts w:hint="eastAsia" w:ascii="微软雅黑" w:hAnsi="微软雅黑" w:eastAsia="微软雅黑"/>
          <w:szCs w:val="21"/>
          <w:highlight w:val="none"/>
          <w:lang w:val="en-US" w:eastAsia="zh-CN"/>
        </w:rPr>
        <w:t>由于不可抗力原因、或由于证券交易所、第三方估值机构、信托公司、基金公司等发送数据错误等非理财产品管理人和理财产品托管人原因，理财产品管理人和托管人虽然已经采取必要、适当、合理的措施进行检查，但未能发现估值错误的，由此造成的估值错误，理财产品管理人和理财产品托管人免除赔偿责任。但理财产品管理人、理财产品托管人应当积极采取必要的措施减轻或消除由此造成的影响；</w:t>
      </w:r>
    </w:p>
    <w:p>
      <w:pPr>
        <w:numPr>
          <w:ilvl w:val="0"/>
          <w:numId w:val="5"/>
        </w:numPr>
        <w:spacing w:line="320" w:lineRule="exact"/>
        <w:ind w:firstLine="420" w:firstLineChars="200"/>
        <w:rPr>
          <w:rFonts w:hint="default" w:ascii="微软雅黑" w:hAnsi="微软雅黑" w:eastAsia="微软雅黑"/>
          <w:szCs w:val="21"/>
          <w:highlight w:val="none"/>
          <w:lang w:val="en-US" w:eastAsia="zh-CN"/>
        </w:rPr>
      </w:pPr>
      <w:r>
        <w:rPr>
          <w:rFonts w:hint="eastAsia" w:ascii="微软雅黑" w:hAnsi="微软雅黑" w:eastAsia="微软雅黑"/>
          <w:szCs w:val="21"/>
          <w:highlight w:val="none"/>
          <w:lang w:val="en-US" w:eastAsia="zh-CN"/>
        </w:rPr>
        <w:t>前述内容如法律法规、监管机关另有规定的，或有关会计准则发生变化等，按照国家最新规定或理财产品管理人最新约定估值。如果行业另有通行做法，理财产品管理人和理财产品托管人本着平等和保护份额持有人利益的原则进行协商。</w:t>
      </w:r>
    </w:p>
    <w:p>
      <w:pPr>
        <w:numPr>
          <w:ilvl w:val="0"/>
          <w:numId w:val="0"/>
        </w:numPr>
        <w:spacing w:line="320" w:lineRule="exact"/>
        <w:ind w:firstLine="210" w:firstLineChars="100"/>
        <w:rPr>
          <w:rFonts w:hint="eastAsia" w:ascii="微软雅黑" w:hAnsi="微软雅黑" w:eastAsia="微软雅黑"/>
          <w:b/>
          <w:bCs/>
          <w:szCs w:val="21"/>
          <w:highlight w:val="none"/>
          <w:lang w:val="en-US" w:eastAsia="zh-CN"/>
        </w:rPr>
      </w:pPr>
      <w:r>
        <w:rPr>
          <w:rFonts w:hint="eastAsia" w:ascii="微软雅黑" w:hAnsi="微软雅黑" w:eastAsia="微软雅黑"/>
          <w:b/>
          <w:bCs/>
          <w:szCs w:val="21"/>
          <w:highlight w:val="none"/>
          <w:lang w:val="en-US" w:eastAsia="zh-CN"/>
        </w:rPr>
        <w:t>（六）暂停估值的情形</w:t>
      </w:r>
    </w:p>
    <w:p>
      <w:pPr>
        <w:numPr>
          <w:ilvl w:val="-1"/>
          <w:numId w:val="0"/>
        </w:numPr>
        <w:spacing w:line="320" w:lineRule="exact"/>
        <w:ind w:firstLine="420" w:firstLineChars="200"/>
        <w:rPr>
          <w:rFonts w:hint="eastAsia" w:ascii="微软雅黑" w:hAnsi="微软雅黑" w:eastAsia="微软雅黑"/>
          <w:szCs w:val="21"/>
          <w:highlight w:val="none"/>
          <w:lang w:val="en-US" w:eastAsia="zh-CN"/>
        </w:rPr>
      </w:pPr>
      <w:r>
        <w:rPr>
          <w:rFonts w:hint="eastAsia" w:ascii="微软雅黑" w:hAnsi="微软雅黑" w:eastAsia="微软雅黑"/>
          <w:szCs w:val="21"/>
          <w:highlight w:val="none"/>
          <w:lang w:val="en-US" w:eastAsia="zh-CN"/>
        </w:rPr>
        <w:t>1.当资产估值因不可抗力或其他情形致使本产品管理人和托管人无法准确评估资产价值时；</w:t>
      </w:r>
    </w:p>
    <w:p>
      <w:pPr>
        <w:numPr>
          <w:ilvl w:val="-1"/>
          <w:numId w:val="0"/>
        </w:numPr>
        <w:spacing w:line="320" w:lineRule="exact"/>
        <w:ind w:firstLine="420" w:firstLineChars="200"/>
        <w:rPr>
          <w:rFonts w:hint="default" w:ascii="微软雅黑" w:hAnsi="微软雅黑" w:eastAsia="微软雅黑"/>
          <w:szCs w:val="21"/>
          <w:highlight w:val="none"/>
          <w:lang w:val="en-US" w:eastAsia="zh-CN"/>
        </w:rPr>
      </w:pPr>
      <w:r>
        <w:rPr>
          <w:rFonts w:hint="eastAsia" w:ascii="微软雅黑" w:hAnsi="微软雅黑" w:eastAsia="微软雅黑"/>
          <w:szCs w:val="21"/>
          <w:highlight w:val="none"/>
          <w:lang w:val="en-US" w:eastAsia="zh-CN"/>
        </w:rPr>
        <w:t>2.理财产品投资所涉及的交易市场遇法定节假日或其他原因暂停营业时；</w:t>
      </w:r>
    </w:p>
    <w:p>
      <w:pPr>
        <w:numPr>
          <w:ilvl w:val="-1"/>
          <w:numId w:val="0"/>
        </w:numPr>
        <w:spacing w:line="320" w:lineRule="exact"/>
        <w:ind w:firstLine="420" w:firstLineChars="200"/>
        <w:rPr>
          <w:rFonts w:hint="default" w:ascii="微软雅黑" w:hAnsi="微软雅黑" w:eastAsia="微软雅黑"/>
          <w:szCs w:val="21"/>
          <w:highlight w:val="none"/>
          <w:lang w:val="en-US" w:eastAsia="zh-CN"/>
        </w:rPr>
      </w:pPr>
      <w:r>
        <w:rPr>
          <w:rFonts w:hint="eastAsia" w:ascii="微软雅黑" w:hAnsi="微软雅黑" w:eastAsia="微软雅黑"/>
          <w:szCs w:val="21"/>
          <w:highlight w:val="none"/>
          <w:lang w:val="en-US" w:eastAsia="zh-CN"/>
        </w:rPr>
        <w:t>3.理财产品投资的其他资产产品合同约定暂停估值或无法估值的情形发生，致使理财产品无法估值时；</w:t>
      </w:r>
    </w:p>
    <w:p>
      <w:pPr>
        <w:numPr>
          <w:ilvl w:val="-1"/>
          <w:numId w:val="0"/>
        </w:numPr>
        <w:spacing w:line="320" w:lineRule="exact"/>
        <w:ind w:firstLine="420" w:firstLineChars="200"/>
        <w:rPr>
          <w:rFonts w:hint="default" w:ascii="微软雅黑" w:hAnsi="微软雅黑" w:eastAsia="微软雅黑"/>
          <w:szCs w:val="21"/>
          <w:highlight w:val="none"/>
          <w:lang w:val="en-US" w:eastAsia="zh-CN"/>
        </w:rPr>
      </w:pPr>
      <w:r>
        <w:rPr>
          <w:rFonts w:hint="eastAsia" w:ascii="微软雅黑" w:hAnsi="微软雅黑" w:eastAsia="微软雅黑"/>
          <w:szCs w:val="21"/>
          <w:highlight w:val="none"/>
          <w:lang w:val="en-US" w:eastAsia="zh-CN"/>
        </w:rPr>
        <w:t>4.中国银保监会认定的其他情形或理财产品管理人、理财产品托管人有合理理由认为将影响理财产品估值的其他情形。</w:t>
      </w:r>
    </w:p>
    <w:p>
      <w:pPr>
        <w:numPr>
          <w:ilvl w:val="-1"/>
          <w:numId w:val="0"/>
        </w:numPr>
        <w:spacing w:line="320" w:lineRule="exact"/>
        <w:ind w:firstLine="420" w:firstLineChars="200"/>
        <w:rPr>
          <w:rFonts w:hint="default" w:ascii="微软雅黑" w:hAnsi="微软雅黑" w:eastAsia="微软雅黑"/>
          <w:szCs w:val="21"/>
          <w:highlight w:val="none"/>
          <w:lang w:val="en-US" w:eastAsia="zh-CN"/>
        </w:rPr>
      </w:pPr>
      <w:r>
        <w:rPr>
          <w:rFonts w:hint="eastAsia" w:ascii="微软雅黑" w:hAnsi="微软雅黑" w:eastAsia="微软雅黑"/>
          <w:szCs w:val="21"/>
          <w:highlight w:val="none"/>
          <w:lang w:val="en-US" w:eastAsia="zh-CN"/>
        </w:rPr>
        <w:t>遇以上情形，管理人可暂停本产品估值直至另行通知。</w:t>
      </w:r>
    </w:p>
    <w:p>
      <w:pPr>
        <w:adjustRightInd w:val="0"/>
        <w:snapToGrid w:val="0"/>
        <w:spacing w:before="93" w:beforeLines="30" w:after="93" w:afterLines="30" w:line="320" w:lineRule="exact"/>
        <w:ind w:left="454"/>
        <w:rPr>
          <w:rFonts w:ascii="微软雅黑" w:hAnsi="微软雅黑" w:eastAsia="微软雅黑" w:cs="Arial"/>
          <w:b/>
          <w:szCs w:val="21"/>
          <w:highlight w:val="none"/>
        </w:rPr>
      </w:pPr>
      <w:r>
        <w:rPr>
          <w:rFonts w:hint="eastAsia" w:ascii="微软雅黑" w:hAnsi="微软雅黑" w:eastAsia="微软雅黑" w:cs="Arial"/>
          <w:b/>
          <w:szCs w:val="21"/>
          <w:highlight w:val="none"/>
        </w:rPr>
        <w:t xml:space="preserve">八、信息披露 </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珠海华润银行将及时在各营业网点或官方网站或珠海华润银行认为适当的其他渠道，发布产品的相关公告，具体公告分类如下：</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1.如本理财产品顺利成立，珠海华润银行将于理财产品成立日后5个工作日内，发布“产品发行公告”。如本理财产品不能顺利成立，珠海华润银行将于决定理财产品不成立之日后2个工作日内,发布“产品不成立公告”。</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2.如本理财产品顺利到期，珠海华润银行将于理财产品到期日后5个工作日内，发布“产品到期公告”。如需提前终止本理财产品，珠海华润银行将于提前终止日前2个工作日内，发布“产品提前终止公告”。</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3.理财产品存续期间，珠海华润银行将于每周公告产品净值。珠海华润银行将在每季度结束之日起15日内，上半年结束之日起60日内，每年结束之日起90日内，公告产品季度报告、半年度报告和年度报告（理财产品成立不足90日或者剩余存续期不超过90日的除外），向客户披露产品投资状况、投资表现、风险状况等信息。</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4.理财产品存续期间，珠海华润银行如需对《产品说明书》的相关条款（包括但不限于业绩比较基准、投资范围、估值方法、相关费用等）进行补充、说明和修改，可以提前</w:t>
      </w:r>
      <w:r>
        <w:rPr>
          <w:rFonts w:ascii="微软雅黑" w:hAnsi="微软雅黑" w:eastAsia="微软雅黑"/>
          <w:szCs w:val="21"/>
          <w:highlight w:val="none"/>
        </w:rPr>
        <w:t>2</w:t>
      </w:r>
      <w:r>
        <w:rPr>
          <w:rFonts w:hint="eastAsia" w:ascii="微软雅黑" w:hAnsi="微软雅黑" w:eastAsia="微软雅黑"/>
          <w:szCs w:val="21"/>
          <w:highlight w:val="none"/>
        </w:rPr>
        <w:t>个工作日发布公告。</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5.理财产品存续期间，如国家宏观政策或市场发生了可能对本理财产品本金及收益造成重大影响的事件，珠海华润银行将于重大事件后的2个工作日内发布“重大事项公告”。</w:t>
      </w:r>
    </w:p>
    <w:p>
      <w:pPr>
        <w:spacing w:line="320" w:lineRule="exact"/>
        <w:ind w:firstLine="420" w:firstLineChars="200"/>
        <w:rPr>
          <w:rFonts w:hint="eastAsia" w:ascii="微软雅黑" w:hAnsi="微软雅黑" w:eastAsia="微软雅黑"/>
          <w:szCs w:val="21"/>
          <w:highlight w:val="none"/>
        </w:rPr>
      </w:pPr>
      <w:r>
        <w:rPr>
          <w:rFonts w:hint="eastAsia" w:ascii="微软雅黑" w:hAnsi="微软雅黑" w:eastAsia="微软雅黑"/>
          <w:szCs w:val="21"/>
          <w:highlight w:val="none"/>
        </w:rPr>
        <w:t>6.客户需要咨询本理财产品相关信息的，可到珠海华润银行各营业网点咨询，也可致电珠海华润银行24小时客户服务热线96588（广东省外请加拨0756）或4008800338 咨询 。</w:t>
      </w:r>
      <w:bookmarkStart w:id="1" w:name="_Hlt97867810"/>
      <w:bookmarkEnd w:id="1"/>
      <w:r>
        <w:rPr>
          <w:rFonts w:hint="eastAsia" w:ascii="微软雅黑" w:hAnsi="微软雅黑" w:eastAsia="微软雅黑"/>
          <w:szCs w:val="21"/>
          <w:highlight w:val="none"/>
          <w:lang w:val="en-US" w:eastAsia="zh-CN"/>
        </w:rPr>
        <w:t>如对本理财产品有相关建议或投诉，也可咨询我行营业网点或客服热线。</w:t>
      </w:r>
    </w:p>
    <w:p>
      <w:pPr>
        <w:spacing w:line="320" w:lineRule="exact"/>
        <w:ind w:firstLine="420" w:firstLineChars="200"/>
        <w:rPr>
          <w:rFonts w:ascii="微软雅黑" w:hAnsi="微软雅黑" w:eastAsia="微软雅黑"/>
          <w:szCs w:val="21"/>
          <w:highlight w:val="none"/>
        </w:rPr>
      </w:pPr>
    </w:p>
    <w:p>
      <w:pPr>
        <w:spacing w:line="320" w:lineRule="exact"/>
        <w:rPr>
          <w:highlight w:val="none"/>
        </w:rPr>
      </w:pPr>
    </w:p>
    <w:p>
      <w:pPr>
        <w:spacing w:line="320" w:lineRule="exact"/>
        <w:rPr>
          <w:highlight w:val="none"/>
        </w:rPr>
      </w:pPr>
    </w:p>
    <w:p>
      <w:pPr>
        <w:spacing w:line="320" w:lineRule="exact"/>
        <w:ind w:firstLine="0" w:firstLineChars="0"/>
        <w:rPr>
          <w:rFonts w:ascii="微软雅黑" w:hAnsi="微软雅黑" w:eastAsia="微软雅黑"/>
          <w:szCs w:val="21"/>
          <w:highlight w:val="none"/>
        </w:rPr>
      </w:pPr>
    </w:p>
    <w:p/>
    <w:sectPr>
      <w:headerReference r:id="rId3" w:type="default"/>
      <w:footerReference r:id="rId4"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jc w:val="center"/>
    </w:pPr>
    <w:r>
      <w:rPr>
        <w:lang w:val="zh-CN"/>
      </w:rPr>
      <w:t xml:space="preserve"> </w:t>
    </w:r>
    <w:r>
      <w:rPr>
        <w:b/>
        <w:sz w:val="24"/>
        <w:szCs w:val="24"/>
      </w:rPr>
      <w:fldChar w:fldCharType="begin"/>
    </w:r>
    <w:r>
      <w:rPr>
        <w:b/>
      </w:rPr>
      <w:instrText xml:space="preserve">PAGE</w:instrText>
    </w:r>
    <w:r>
      <w:rPr>
        <w:b/>
        <w:sz w:val="24"/>
        <w:szCs w:val="24"/>
      </w:rPr>
      <w:fldChar w:fldCharType="separate"/>
    </w:r>
    <w:r>
      <w:rPr>
        <w:b/>
      </w:rPr>
      <w:t>2</w:t>
    </w:r>
    <w:r>
      <w:rPr>
        <w:b/>
        <w:sz w:val="24"/>
        <w:szCs w:val="24"/>
      </w:rPr>
      <w:fldChar w:fldCharType="end"/>
    </w:r>
    <w:r>
      <w:rPr>
        <w:lang w:val="zh-CN"/>
      </w:rPr>
      <w:t xml:space="preserve"> / </w:t>
    </w:r>
    <w:r>
      <w:rPr>
        <w:b/>
        <w:sz w:val="24"/>
        <w:szCs w:val="24"/>
      </w:rPr>
      <w:fldChar w:fldCharType="begin"/>
    </w:r>
    <w:r>
      <w:rPr>
        <w:b/>
      </w:rPr>
      <w:instrText xml:space="preserve">NUMPAGES</w:instrText>
    </w:r>
    <w:r>
      <w:rPr>
        <w:b/>
        <w:sz w:val="24"/>
        <w:szCs w:val="24"/>
      </w:rPr>
      <w:fldChar w:fldCharType="separate"/>
    </w:r>
    <w:r>
      <w:rPr>
        <w:b/>
      </w:rPr>
      <w:t>6</w:t>
    </w:r>
    <w:r>
      <w:rPr>
        <w:b/>
        <w:sz w:val="24"/>
        <w:szCs w:val="24"/>
      </w:rPr>
      <w:fldChar w:fldCharType="end"/>
    </w:r>
  </w:p>
  <w:p>
    <w:pPr>
      <w:pStyle w:val="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single" w:color="auto" w:sz="4" w:space="0"/>
      </w:pBdr>
      <w:jc w:val="left"/>
      <w:rPr>
        <w:rFonts w:ascii="微软雅黑" w:hAnsi="微软雅黑" w:eastAsia="微软雅黑"/>
        <w:b/>
      </w:rPr>
    </w:pPr>
    <w:r>
      <w:drawing>
        <wp:inline distT="0" distB="0" distL="114300" distR="114300">
          <wp:extent cx="1636395" cy="429260"/>
          <wp:effectExtent l="0" t="0" r="1905" b="2540"/>
          <wp:docPr id="1" name="图片 2" descr="说明: 0最新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 descr="说明: 0最新LOGO"/>
                  <pic:cNvPicPr>
                    <a:picLocks noChangeAspect="1"/>
                  </pic:cNvPicPr>
                </pic:nvPicPr>
                <pic:blipFill>
                  <a:blip r:embed="rId1"/>
                  <a:srcRect l="34792"/>
                  <a:stretch>
                    <a:fillRect/>
                  </a:stretch>
                </pic:blipFill>
                <pic:spPr>
                  <a:xfrm>
                    <a:off x="0" y="0"/>
                    <a:ext cx="1636395" cy="429260"/>
                  </a:xfrm>
                  <a:prstGeom prst="rect">
                    <a:avLst/>
                  </a:prstGeom>
                  <a:noFill/>
                  <a:ln>
                    <a:noFill/>
                  </a:ln>
                </pic:spPr>
              </pic:pic>
            </a:graphicData>
          </a:graphic>
        </wp:inline>
      </w:drawing>
    </w:r>
    <w:r>
      <w:rPr>
        <w:rFonts w:hint="eastAsia"/>
      </w:rPr>
      <w:t xml:space="preserve">                                                     </w:t>
    </w:r>
    <w:r>
      <w:rPr>
        <w:rFonts w:hint="eastAsia" w:ascii="微软雅黑" w:hAnsi="微软雅黑" w:eastAsia="微软雅黑"/>
        <w:b/>
      </w:rPr>
      <w:t>20</w:t>
    </w:r>
    <w:r>
      <w:rPr>
        <w:rFonts w:hint="eastAsia" w:ascii="微软雅黑" w:hAnsi="微软雅黑" w:eastAsia="微软雅黑"/>
        <w:b/>
        <w:lang w:val="en-US" w:eastAsia="zh-CN"/>
      </w:rPr>
      <w:t>2205</w:t>
    </w:r>
    <w:r>
      <w:rPr>
        <w:rFonts w:hint="eastAsia" w:ascii="微软雅黑" w:hAnsi="微软雅黑" w:eastAsia="微软雅黑"/>
        <w:b/>
      </w:rPr>
      <w:t>版</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8D2CFD5"/>
    <w:multiLevelType w:val="singleLevel"/>
    <w:tmpl w:val="98D2CFD5"/>
    <w:lvl w:ilvl="0" w:tentative="0">
      <w:start w:val="1"/>
      <w:numFmt w:val="decimal"/>
      <w:suff w:val="nothing"/>
      <w:lvlText w:val="（%1）"/>
      <w:lvlJc w:val="left"/>
    </w:lvl>
  </w:abstractNum>
  <w:abstractNum w:abstractNumId="1">
    <w:nsid w:val="CADA6CA3"/>
    <w:multiLevelType w:val="singleLevel"/>
    <w:tmpl w:val="CADA6CA3"/>
    <w:lvl w:ilvl="0" w:tentative="0">
      <w:start w:val="1"/>
      <w:numFmt w:val="decimal"/>
      <w:suff w:val="nothing"/>
      <w:lvlText w:val="（%1）"/>
      <w:lvlJc w:val="left"/>
    </w:lvl>
  </w:abstractNum>
  <w:abstractNum w:abstractNumId="2">
    <w:nsid w:val="03DE00D4"/>
    <w:multiLevelType w:val="singleLevel"/>
    <w:tmpl w:val="03DE00D4"/>
    <w:lvl w:ilvl="0" w:tentative="0">
      <w:start w:val="1"/>
      <w:numFmt w:val="decimal"/>
      <w:suff w:val="nothing"/>
      <w:lvlText w:val="（%1）"/>
      <w:lvlJc w:val="left"/>
    </w:lvl>
  </w:abstractNum>
  <w:abstractNum w:abstractNumId="3">
    <w:nsid w:val="2323918F"/>
    <w:multiLevelType w:val="singleLevel"/>
    <w:tmpl w:val="2323918F"/>
    <w:lvl w:ilvl="0" w:tentative="0">
      <w:start w:val="2"/>
      <w:numFmt w:val="chineseCounting"/>
      <w:suff w:val="nothing"/>
      <w:lvlText w:val="%1、"/>
      <w:lvlJc w:val="left"/>
      <w:rPr>
        <w:rFonts w:hint="eastAsia"/>
      </w:rPr>
    </w:lvl>
  </w:abstractNum>
  <w:abstractNum w:abstractNumId="4">
    <w:nsid w:val="744B48CE"/>
    <w:multiLevelType w:val="singleLevel"/>
    <w:tmpl w:val="744B48CE"/>
    <w:lvl w:ilvl="0" w:tentative="0">
      <w:start w:val="2"/>
      <w:numFmt w:val="chineseCounting"/>
      <w:suff w:val="nothing"/>
      <w:lvlText w:val="（%1）"/>
      <w:lvlJc w:val="left"/>
      <w:rPr>
        <w:rFonts w:hint="eastAsia"/>
      </w:rPr>
    </w:lvl>
  </w:abstractNum>
  <w:num w:numId="1">
    <w:abstractNumId w:val="3"/>
  </w:num>
  <w:num w:numId="2">
    <w:abstractNumId w:val="4"/>
  </w:num>
  <w:num w:numId="3">
    <w:abstractNumId w:val="0"/>
  </w:num>
  <w:num w:numId="4">
    <w:abstractNumId w:val="2"/>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revisionView w:markup="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8F6636"/>
    <w:rsid w:val="01881AE7"/>
    <w:rsid w:val="019002E5"/>
    <w:rsid w:val="02165FC0"/>
    <w:rsid w:val="03FE730B"/>
    <w:rsid w:val="04A31E95"/>
    <w:rsid w:val="05AD1DE5"/>
    <w:rsid w:val="06205A84"/>
    <w:rsid w:val="089D6B67"/>
    <w:rsid w:val="09825DF4"/>
    <w:rsid w:val="0A7E1206"/>
    <w:rsid w:val="0EEC3F08"/>
    <w:rsid w:val="0F394F64"/>
    <w:rsid w:val="10475161"/>
    <w:rsid w:val="11CA0B60"/>
    <w:rsid w:val="12F955D8"/>
    <w:rsid w:val="13AC247C"/>
    <w:rsid w:val="1408101E"/>
    <w:rsid w:val="140B2F8F"/>
    <w:rsid w:val="142802AA"/>
    <w:rsid w:val="147F0567"/>
    <w:rsid w:val="148D33AC"/>
    <w:rsid w:val="16193417"/>
    <w:rsid w:val="175506D7"/>
    <w:rsid w:val="17617C91"/>
    <w:rsid w:val="1A5F0E49"/>
    <w:rsid w:val="1B391A14"/>
    <w:rsid w:val="1B5202EC"/>
    <w:rsid w:val="1E5C067A"/>
    <w:rsid w:val="1F946DED"/>
    <w:rsid w:val="202A0D43"/>
    <w:rsid w:val="2168501B"/>
    <w:rsid w:val="22882DEA"/>
    <w:rsid w:val="24F368F4"/>
    <w:rsid w:val="27C369D2"/>
    <w:rsid w:val="288E09D9"/>
    <w:rsid w:val="28DB7810"/>
    <w:rsid w:val="290478AC"/>
    <w:rsid w:val="2B80553F"/>
    <w:rsid w:val="2F7C7864"/>
    <w:rsid w:val="2FB03A92"/>
    <w:rsid w:val="32CC5C21"/>
    <w:rsid w:val="32DC13E4"/>
    <w:rsid w:val="350D0382"/>
    <w:rsid w:val="35AA05FA"/>
    <w:rsid w:val="38C20218"/>
    <w:rsid w:val="39B82E07"/>
    <w:rsid w:val="39E21DD2"/>
    <w:rsid w:val="3CB42A51"/>
    <w:rsid w:val="3D9A620A"/>
    <w:rsid w:val="42B20A92"/>
    <w:rsid w:val="43133E9E"/>
    <w:rsid w:val="43D76177"/>
    <w:rsid w:val="43E401C6"/>
    <w:rsid w:val="44554E4B"/>
    <w:rsid w:val="45235006"/>
    <w:rsid w:val="453D75E9"/>
    <w:rsid w:val="45585AA1"/>
    <w:rsid w:val="45E50EAE"/>
    <w:rsid w:val="46AE62C2"/>
    <w:rsid w:val="47F76C91"/>
    <w:rsid w:val="49EE531F"/>
    <w:rsid w:val="4AD8186E"/>
    <w:rsid w:val="4FA030D2"/>
    <w:rsid w:val="5007118A"/>
    <w:rsid w:val="50DD18DC"/>
    <w:rsid w:val="50E60F81"/>
    <w:rsid w:val="50FB1E76"/>
    <w:rsid w:val="54687333"/>
    <w:rsid w:val="59FD2DF2"/>
    <w:rsid w:val="5AC933B6"/>
    <w:rsid w:val="5BE432C5"/>
    <w:rsid w:val="5CD3789B"/>
    <w:rsid w:val="5E7743A2"/>
    <w:rsid w:val="5F8B5555"/>
    <w:rsid w:val="5FB36BF3"/>
    <w:rsid w:val="60567BFB"/>
    <w:rsid w:val="60AC2D12"/>
    <w:rsid w:val="60EA09AD"/>
    <w:rsid w:val="61271414"/>
    <w:rsid w:val="634E46E0"/>
    <w:rsid w:val="640475B9"/>
    <w:rsid w:val="65071796"/>
    <w:rsid w:val="654C5B9A"/>
    <w:rsid w:val="67034362"/>
    <w:rsid w:val="695D0F78"/>
    <w:rsid w:val="69A2714C"/>
    <w:rsid w:val="6B205E7E"/>
    <w:rsid w:val="6C537DED"/>
    <w:rsid w:val="6CF17D97"/>
    <w:rsid w:val="6FFC1A27"/>
    <w:rsid w:val="70F0489A"/>
    <w:rsid w:val="7144135F"/>
    <w:rsid w:val="71914B73"/>
    <w:rsid w:val="72003720"/>
    <w:rsid w:val="74344EE2"/>
    <w:rsid w:val="74664C43"/>
    <w:rsid w:val="77D00A8D"/>
    <w:rsid w:val="7AB9259F"/>
    <w:rsid w:val="7B0E621D"/>
    <w:rsid w:val="7CD83DAF"/>
    <w:rsid w:val="7D116CCB"/>
    <w:rsid w:val="7E344F59"/>
    <w:rsid w:val="7EBA22AF"/>
    <w:rsid w:val="7EBD0A5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iPriority="99" w:semiHidden="0" w:name="annotation text"/>
    <w:lsdException w:qFormat="1" w:uiPriority="99"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annotation text"/>
    <w:basedOn w:val="1"/>
    <w:unhideWhenUsed/>
    <w:qFormat/>
    <w:uiPriority w:val="99"/>
    <w:pPr>
      <w:jc w:val="left"/>
    </w:pPr>
  </w:style>
  <w:style w:type="paragraph" w:styleId="3">
    <w:name w:val="footer"/>
    <w:basedOn w:val="1"/>
    <w:unhideWhenUsed/>
    <w:qFormat/>
    <w:uiPriority w:val="99"/>
    <w:pPr>
      <w:tabs>
        <w:tab w:val="center" w:pos="4153"/>
        <w:tab w:val="right" w:pos="8306"/>
      </w:tabs>
      <w:snapToGrid w:val="0"/>
      <w:jc w:val="left"/>
    </w:pPr>
    <w:rPr>
      <w:sz w:val="18"/>
      <w:szCs w:val="18"/>
    </w:rPr>
  </w:style>
  <w:style w:type="paragraph" w:styleId="4">
    <w:name w:val="header"/>
    <w:basedOn w:val="1"/>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8</Pages>
  <Words>0</Words>
  <Characters>0</Characters>
  <Lines>0</Lines>
  <Paragraphs>0</Paragraphs>
  <TotalTime>99</TotalTime>
  <ScaleCrop>false</ScaleCrop>
  <LinksUpToDate>false</LinksUpToDate>
  <CharactersWithSpaces>0</CharactersWithSpaces>
  <Application>WPS Office_12.8.0.16987_F1E327BC-269C-435d-A152-05C5408002CA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2022-04-01T07:00:00Z</dcterms:created>
  <dc:creator>linaina1</dc:creator>
  <cp:lastModifiedBy>张袭</cp:lastModifiedBy>
  <dcterms:modified xsi:type="dcterms:W3CDTF">2025-12-30T03:05:18Z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2052-12.8.0.16987</vt:lpwstr>
  </property>
  <property fmtid="{D5CDD505-2E9C-101B-9397-08002B2CF9AE}" pid="3" name="ICV">
    <vt:lpwstr>11FF200B32D243D2BBDC64E505E999EF_13</vt:lpwstr>
  </property>
</Properties>
</file>